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B1954" w:rsidRPr="003B1954" w:rsidTr="0055088E">
        <w:trPr>
          <w:trHeight w:val="288"/>
        </w:trPr>
        <w:tc>
          <w:tcPr>
            <w:tcW w:w="9288" w:type="dxa"/>
            <w:shd w:val="clear" w:color="auto" w:fill="DBE5F1" w:themeFill="accent1" w:themeFillTint="33"/>
            <w:noWrap/>
            <w:hideMark/>
          </w:tcPr>
          <w:p w:rsidR="003B1954" w:rsidRPr="003B1954" w:rsidRDefault="003B1954" w:rsidP="0055088E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B1954">
              <w:rPr>
                <w:b/>
                <w:noProof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69B0259F" wp14:editId="25A0474A">
                  <wp:simplePos x="0" y="0"/>
                  <wp:positionH relativeFrom="column">
                    <wp:posOffset>-841375</wp:posOffset>
                  </wp:positionH>
                  <wp:positionV relativeFrom="paragraph">
                    <wp:posOffset>-736600</wp:posOffset>
                  </wp:positionV>
                  <wp:extent cx="914400" cy="679450"/>
                  <wp:effectExtent l="0" t="0" r="0" b="6350"/>
                  <wp:wrapNone/>
                  <wp:docPr id="1" name="Bildobjekt 1" descr="nytt stadsvapen för A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55" descr="nytt stadsvapen för A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954">
              <w:rPr>
                <w:b/>
                <w:sz w:val="32"/>
                <w:szCs w:val="32"/>
              </w:rPr>
              <w:t>Checklista för planering av parkeringar</w:t>
            </w:r>
          </w:p>
          <w:p w:rsidR="003B1954" w:rsidRPr="003B1954" w:rsidRDefault="003B1954"/>
        </w:tc>
      </w:tr>
      <w:tr w:rsidR="003B1954" w:rsidRPr="003B1954" w:rsidTr="003B1954">
        <w:trPr>
          <w:trHeight w:val="348"/>
        </w:trPr>
        <w:tc>
          <w:tcPr>
            <w:tcW w:w="9288" w:type="dxa"/>
            <w:hideMark/>
          </w:tcPr>
          <w:p w:rsidR="003B1954" w:rsidRPr="00B77A26" w:rsidRDefault="003B1954">
            <w:pPr>
              <w:rPr>
                <w:bCs/>
                <w:i/>
              </w:rPr>
            </w:pPr>
            <w:r w:rsidRPr="00B77A26">
              <w:rPr>
                <w:bCs/>
                <w:i/>
              </w:rPr>
              <w:t xml:space="preserve">Instruktioner från </w:t>
            </w:r>
            <w:r w:rsidR="00B77A26" w:rsidRPr="00B77A26">
              <w:rPr>
                <w:i/>
              </w:rPr>
              <w:t xml:space="preserve">”Riktlinjer för parkering i Västerås” </w:t>
            </w:r>
            <w:r w:rsidRPr="00B77A26">
              <w:rPr>
                <w:bCs/>
                <w:i/>
              </w:rPr>
              <w:t>som är viktiga att ta hänsyn till vid planering av parkeringar</w:t>
            </w:r>
            <w:r w:rsidR="00B77A26" w:rsidRPr="00B77A26">
              <w:rPr>
                <w:bCs/>
                <w:i/>
              </w:rPr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/>
        </w:tc>
      </w:tr>
      <w:tr w:rsidR="003B1954" w:rsidRPr="003B1954" w:rsidTr="0055088E">
        <w:trPr>
          <w:trHeight w:val="348"/>
        </w:trPr>
        <w:tc>
          <w:tcPr>
            <w:tcW w:w="9288" w:type="dxa"/>
            <w:shd w:val="clear" w:color="auto" w:fill="DBE5F1" w:themeFill="accent1" w:themeFillTint="33"/>
            <w:hideMark/>
          </w:tcPr>
          <w:p w:rsidR="003B1954" w:rsidRPr="003B1954" w:rsidRDefault="003B1954">
            <w:pPr>
              <w:rPr>
                <w:b/>
                <w:sz w:val="24"/>
                <w:szCs w:val="24"/>
              </w:rPr>
            </w:pPr>
            <w:r w:rsidRPr="003B1954">
              <w:rPr>
                <w:b/>
                <w:sz w:val="24"/>
                <w:szCs w:val="24"/>
              </w:rPr>
              <w:t>Cykelparkering - utbud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pPr>
              <w:rPr>
                <w:bCs/>
              </w:rPr>
            </w:pPr>
            <w:r w:rsidRPr="003B1954">
              <w:rPr>
                <w:bCs/>
              </w:rPr>
              <w:t>Utgångspunkter: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Samtliga boende ska ha möjlighet att äga en cykel och ha den parkerad vid bostaden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Besöksparkering för cyklar ska finnas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Antalet cykelparkeringar som anges i parkeringstalen kan inte reduceras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/>
        </w:tc>
      </w:tr>
      <w:tr w:rsidR="003B1954" w:rsidRPr="003B1954" w:rsidTr="0055088E">
        <w:trPr>
          <w:trHeight w:val="348"/>
        </w:trPr>
        <w:tc>
          <w:tcPr>
            <w:tcW w:w="9288" w:type="dxa"/>
            <w:shd w:val="clear" w:color="auto" w:fill="DBE5F1" w:themeFill="accent1" w:themeFillTint="33"/>
            <w:hideMark/>
          </w:tcPr>
          <w:p w:rsidR="003B1954" w:rsidRPr="003B1954" w:rsidRDefault="003B1954">
            <w:r w:rsidRPr="003B1954">
              <w:rPr>
                <w:b/>
                <w:sz w:val="24"/>
                <w:szCs w:val="24"/>
              </w:rPr>
              <w:t>Cykelparkering - utformning</w:t>
            </w:r>
            <w:r w:rsidRPr="003B1954">
              <w:t xml:space="preserve"> 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pPr>
              <w:rPr>
                <w:i/>
              </w:rPr>
            </w:pPr>
            <w:r w:rsidRPr="003B1954">
              <w:t xml:space="preserve"> </w:t>
            </w:r>
            <w:r w:rsidRPr="003B1954">
              <w:rPr>
                <w:bCs/>
                <w:i/>
              </w:rPr>
              <w:t>Se avsnittet "Parkering för cykel" i riktlinjerna, samt broschyren "Den perfekta cykelparkeringen"</w:t>
            </w:r>
            <w:r w:rsidR="00B77A26">
              <w:rPr>
                <w:bCs/>
                <w:i/>
              </w:rPr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Som exempel kan nämnas att: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Alla cykelställ ska medge ramlåsning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Dygnsparkeringar vid arbetsplatser och bostäder ska ha väderskydd och belysning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Cykelparkeringen ska vara lokaliserad nära entrén till målpunkten och i vissa fall vara utrustad med cykelpump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Skötselplan och anslag om ansvarig förvaltare ska alltid finnas för varje parkering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/>
        </w:tc>
      </w:tr>
      <w:tr w:rsidR="003B1954" w:rsidRPr="003B1954" w:rsidTr="0055088E">
        <w:trPr>
          <w:trHeight w:val="348"/>
        </w:trPr>
        <w:tc>
          <w:tcPr>
            <w:tcW w:w="9288" w:type="dxa"/>
            <w:shd w:val="clear" w:color="auto" w:fill="DBE5F1" w:themeFill="accent1" w:themeFillTint="33"/>
            <w:hideMark/>
          </w:tcPr>
          <w:p w:rsidR="003B1954" w:rsidRPr="003B1954" w:rsidRDefault="003B1954">
            <w:r w:rsidRPr="003B1954">
              <w:rPr>
                <w:b/>
                <w:sz w:val="24"/>
                <w:szCs w:val="24"/>
              </w:rPr>
              <w:t>Bilparkering - utbud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 w:rsidP="00B77A26">
            <w:r w:rsidRPr="003B1954">
              <w:t>För avs</w:t>
            </w:r>
            <w:r w:rsidR="00B77A26">
              <w:t xml:space="preserve">tånd till målpunkt, se </w:t>
            </w:r>
            <w:r w:rsidRPr="003B1954">
              <w:t xml:space="preserve">tabell </w:t>
            </w:r>
            <w:r w:rsidR="00B77A26">
              <w:t xml:space="preserve">1 </w:t>
            </w:r>
            <w:r w:rsidRPr="003B1954">
              <w:t xml:space="preserve">i </w:t>
            </w:r>
            <w:r w:rsidR="00B77A26">
              <w:t xml:space="preserve">riktlinjerna. </w:t>
            </w:r>
            <w:r w:rsidRPr="003B1954">
              <w:t xml:space="preserve"> Som exempel kan nämnas att: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Verksamma och besökare ska kunna parkera på acceptabelt gångavstånd från verksamheter, högst 800 meter för verksamma och högst 300 meter för besökare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Boende som har bil ska kunna parkera den på acceptabelt gångavstånd från bostaden, högst 500 meter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Möjligheter till angöring, lastning och lossning ska alltid finnas i närheten av entrén</w:t>
            </w:r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Behovet av parkering för tvåhjuliga motorfordon ska alltid utredas, för både bostäder och verksamheter. Dock finns inga parkeringstal för MC/moped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Parkering i direkt anslutning till entrén reserveras i första hand för rörelsehindrade och bilpoolsbilar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För speciella typer av verksamheter, som saknar färdiga parkeringstal, ska en särskild parkeringsutredning göras</w:t>
            </w:r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Det finns alltid möjlighet att göra en särskild parkeringsutredning för att sänka parkeringstalen i fall där befintliga möjligheter till reduktion inte bedöms kunna användas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Lokalisering av parkeringsplatsen ska specificeras i bygglovet</w:t>
            </w:r>
            <w:r w:rsidR="00B77A26">
              <w:t>.</w:t>
            </w:r>
          </w:p>
        </w:tc>
      </w:tr>
      <w:tr w:rsidR="003B1954" w:rsidRPr="003B1954" w:rsidTr="003B1954">
        <w:trPr>
          <w:trHeight w:val="864"/>
        </w:trPr>
        <w:tc>
          <w:tcPr>
            <w:tcW w:w="9288" w:type="dxa"/>
            <w:hideMark/>
          </w:tcPr>
          <w:p w:rsidR="003B1954" w:rsidRDefault="003B1954">
            <w:r w:rsidRPr="003B1954">
              <w:t xml:space="preserve">• Parkering för personer med rörelsenedsättning ska förläggas inom 25 meter från entrén och ska vara </w:t>
            </w:r>
            <w:r w:rsidRPr="003B1954">
              <w:rPr>
                <w:i/>
                <w:iCs/>
              </w:rPr>
              <w:t xml:space="preserve">minst </w:t>
            </w:r>
            <w:proofErr w:type="gramStart"/>
            <w:r w:rsidRPr="003B1954">
              <w:t>5%</w:t>
            </w:r>
            <w:proofErr w:type="gramEnd"/>
            <w:r w:rsidRPr="003B1954">
              <w:t xml:space="preserve"> av antalet parkeringsplatser.  För anläggningar med särskild parkeringsutredning kan en högre</w:t>
            </w:r>
            <w:r w:rsidR="00B77A26">
              <w:t xml:space="preserve"> andel behövas. Ta hänsyn till </w:t>
            </w:r>
            <w:r w:rsidRPr="003B1954">
              <w:t xml:space="preserve">behov för boende, gäster, verksamma. </w:t>
            </w:r>
          </w:p>
          <w:p w:rsidR="003B1954" w:rsidRPr="003B1954" w:rsidRDefault="003B1954">
            <w:pPr>
              <w:rPr>
                <w:i/>
              </w:rPr>
            </w:pPr>
            <w:r w:rsidRPr="003B1954">
              <w:rPr>
                <w:bCs/>
                <w:i/>
              </w:rPr>
              <w:t>Se mer i avsnittet "Bilparkering för personer med rörelsenedsättning" i riktlinjerna och Bygg Ikapp</w:t>
            </w:r>
            <w:r w:rsidR="00B77A26">
              <w:rPr>
                <w:bCs/>
                <w:i/>
              </w:rPr>
              <w:t>.</w:t>
            </w:r>
          </w:p>
        </w:tc>
      </w:tr>
      <w:tr w:rsidR="003B1954" w:rsidRPr="003B1954" w:rsidTr="003B1954">
        <w:trPr>
          <w:trHeight w:val="600"/>
        </w:trPr>
        <w:tc>
          <w:tcPr>
            <w:tcW w:w="9288" w:type="dxa"/>
            <w:hideMark/>
          </w:tcPr>
          <w:p w:rsidR="003B1954" w:rsidRDefault="003B1954" w:rsidP="003B1954">
            <w:r w:rsidRPr="003B1954">
              <w:t xml:space="preserve">• I samband med bygglov finns möjlighet för kommunen att kräva redovisning av var ytterligare parkering kan skapas om efterfrågan skulle visa sig vara högre än </w:t>
            </w:r>
            <w:r>
              <w:t xml:space="preserve">beräknat, den </w:t>
            </w:r>
            <w:proofErr w:type="gramStart"/>
            <w:r>
              <w:t>s k</w:t>
            </w:r>
            <w:proofErr w:type="gramEnd"/>
            <w:r>
              <w:t xml:space="preserve"> reservplanen. </w:t>
            </w:r>
          </w:p>
          <w:p w:rsidR="003B1954" w:rsidRPr="003B1954" w:rsidRDefault="003B1954" w:rsidP="003B1954">
            <w:r w:rsidRPr="003B1954">
              <w:rPr>
                <w:i/>
              </w:rPr>
              <w:t>S</w:t>
            </w:r>
            <w:r w:rsidRPr="003B1954">
              <w:rPr>
                <w:bCs/>
                <w:i/>
              </w:rPr>
              <w:t>e vidare i avsnittet "Parkeringtal för bil och cykel i Västerås" i riktlinjerna</w:t>
            </w:r>
            <w:r w:rsidR="00B77A26">
              <w:rPr>
                <w:bCs/>
                <w:i/>
              </w:rPr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pPr>
              <w:rPr>
                <w:b/>
                <w:bCs/>
              </w:rPr>
            </w:pPr>
          </w:p>
        </w:tc>
      </w:tr>
      <w:tr w:rsidR="003B1954" w:rsidRPr="003B1954" w:rsidTr="0055088E">
        <w:trPr>
          <w:trHeight w:val="348"/>
        </w:trPr>
        <w:tc>
          <w:tcPr>
            <w:tcW w:w="9288" w:type="dxa"/>
            <w:shd w:val="clear" w:color="auto" w:fill="DBE5F1" w:themeFill="accent1" w:themeFillTint="33"/>
            <w:hideMark/>
          </w:tcPr>
          <w:p w:rsidR="003B1954" w:rsidRPr="003B1954" w:rsidRDefault="003B1954">
            <w:r w:rsidRPr="003B1954">
              <w:rPr>
                <w:b/>
                <w:sz w:val="24"/>
                <w:szCs w:val="24"/>
              </w:rPr>
              <w:t>Bilparkering - utformning och lokalisering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Efterfrågan på bilparkering bör tillgodoses i samlade parkeringsanläggningar</w:t>
            </w:r>
            <w:r w:rsidR="00B77A26">
              <w:t>.</w:t>
            </w:r>
          </w:p>
        </w:tc>
      </w:tr>
      <w:tr w:rsidR="003B1954" w:rsidRPr="003B1954" w:rsidTr="003B1954">
        <w:trPr>
          <w:trHeight w:val="615"/>
        </w:trPr>
        <w:tc>
          <w:tcPr>
            <w:tcW w:w="9288" w:type="dxa"/>
            <w:hideMark/>
          </w:tcPr>
          <w:p w:rsidR="003B1C29" w:rsidRDefault="003B1954" w:rsidP="00387D5F">
            <w:r w:rsidRPr="003B1954">
              <w:t xml:space="preserve">• Markparkering kan tillåtas i externa lägen där marktillgången är god. I centrala lägen byggs bilparkering i parkeringshus och garage. Gatumark kan användas för korttidsparkering, för angöring, </w:t>
            </w:r>
            <w:r w:rsidRPr="003B1954">
              <w:lastRenderedPageBreak/>
              <w:t>lastning och lossning, samt för platser för rörelsehindrade</w:t>
            </w:r>
            <w:r w:rsidR="00B77A26">
              <w:t>.</w:t>
            </w:r>
            <w:r w:rsidR="003B1C29">
              <w:t xml:space="preserve"> </w:t>
            </w:r>
          </w:p>
          <w:p w:rsidR="003B1954" w:rsidRPr="003B1954" w:rsidRDefault="003B1C29" w:rsidP="00387D5F">
            <w:r>
              <w:t>Parkering på gatumark kan dock aldrig tillgodoräknas fastigheten. Fastighetens parkeringsplatser för rörelsehindrade och för bilpool ska alltid anordnas inom fastigheten.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lastRenderedPageBreak/>
              <w:t>• Konkurrenskraften för alternativa färdsätt som kollektivtrafik och cykel kan stärkas genom att gångavståndet till dessa alternativ är kortare än till bilparkeringen</w:t>
            </w:r>
            <w:r w:rsidR="00B77A26">
              <w:t>.</w:t>
            </w:r>
          </w:p>
        </w:tc>
      </w:tr>
      <w:tr w:rsidR="003B1954" w:rsidRPr="003B1954" w:rsidTr="003B1954">
        <w:trPr>
          <w:trHeight w:val="930"/>
        </w:trPr>
        <w:tc>
          <w:tcPr>
            <w:tcW w:w="9288" w:type="dxa"/>
            <w:hideMark/>
          </w:tcPr>
          <w:p w:rsidR="00387D5F" w:rsidRDefault="003B1954">
            <w:r w:rsidRPr="003B1954">
              <w:t xml:space="preserve">• Parkering för personer med rörelsenedsättning ska förläggas inom 25 meter från entrén och ska var </w:t>
            </w:r>
            <w:r w:rsidRPr="003B1954">
              <w:rPr>
                <w:i/>
                <w:iCs/>
              </w:rPr>
              <w:t xml:space="preserve">minst </w:t>
            </w:r>
            <w:proofErr w:type="gramStart"/>
            <w:r w:rsidRPr="003B1954">
              <w:t>5%</w:t>
            </w:r>
            <w:proofErr w:type="gramEnd"/>
            <w:r w:rsidRPr="003B1954">
              <w:t xml:space="preserve"> av antalet parkeringsplatser.  För anläggningar med särskild parkeringsutredning kan en högre</w:t>
            </w:r>
            <w:r w:rsidR="00387D5F">
              <w:t xml:space="preserve"> andel behövas. Ta hänsyn till </w:t>
            </w:r>
            <w:r w:rsidRPr="003B1954">
              <w:t xml:space="preserve">behov för boende, gäster, verksamma. </w:t>
            </w:r>
          </w:p>
          <w:p w:rsidR="003B1954" w:rsidRPr="00387D5F" w:rsidRDefault="003B1954">
            <w:pPr>
              <w:rPr>
                <w:i/>
              </w:rPr>
            </w:pPr>
            <w:r w:rsidRPr="00387D5F">
              <w:rPr>
                <w:bCs/>
                <w:i/>
              </w:rPr>
              <w:t>Se mer i avsnittet "Bilparkering för personer med rörelsenedsättning" i riktlinjerna och Bygg Ikapp</w:t>
            </w:r>
            <w:r w:rsidR="00B77A26">
              <w:rPr>
                <w:bCs/>
                <w:i/>
              </w:rPr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Parkeringshus kan ofta användas som bullerskärm</w:t>
            </w:r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Vid all anläggning av parkering ska särskild hänsyn tas till dagvattenfrågan. Ytor för infiltration och genomsläppliga (permeabla) ytor rekommenderas</w:t>
            </w:r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Vid nyanläggning av större parkeringsanläggningar och garage bör platser för moped och MC märkas ut och förses med möjligheter till fastlåsning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/>
        </w:tc>
      </w:tr>
      <w:tr w:rsidR="003B1954" w:rsidRPr="003B1954" w:rsidTr="0055088E">
        <w:trPr>
          <w:trHeight w:val="348"/>
        </w:trPr>
        <w:tc>
          <w:tcPr>
            <w:tcW w:w="9288" w:type="dxa"/>
            <w:shd w:val="clear" w:color="auto" w:fill="DBE5F1" w:themeFill="accent1" w:themeFillTint="33"/>
            <w:hideMark/>
          </w:tcPr>
          <w:p w:rsidR="003B1954" w:rsidRPr="003B1954" w:rsidRDefault="003B1954">
            <w:r w:rsidRPr="003B1954">
              <w:rPr>
                <w:b/>
                <w:sz w:val="24"/>
                <w:szCs w:val="24"/>
              </w:rPr>
              <w:t>Bilparkering - reduktion (flexibla parkeringstal)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87D5F" w:rsidRDefault="003B1954">
            <w:pPr>
              <w:rPr>
                <w:bCs/>
              </w:rPr>
            </w:pPr>
            <w:r w:rsidRPr="00387D5F">
              <w:rPr>
                <w:bCs/>
              </w:rPr>
              <w:t>Utgångspunkter: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Grunden för att få reduktion för bostäder är att man kan förvänta sig att de boende i lägre utsträckning kommer att äga bil tack vare de åtgärder som görs</w:t>
            </w:r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Grunden för att få reduktion för</w:t>
            </w:r>
            <w:r w:rsidRPr="003B1954">
              <w:rPr>
                <w:b/>
                <w:bCs/>
              </w:rPr>
              <w:t xml:space="preserve"> </w:t>
            </w:r>
            <w:r w:rsidRPr="003B1954">
              <w:t>verksamheter är att man kan förvänta sig att de verksamma i lägre utsträckning kommer att använda bil tack vare de åtgärder som görs</w:t>
            </w:r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87D5F" w:rsidRDefault="003B1954">
            <w:r w:rsidRPr="003B1954">
              <w:t xml:space="preserve">• Reduktion kan fås inte bara vid nybyggnation, utan även vid ombyggnation eller ändrad användning. </w:t>
            </w:r>
          </w:p>
          <w:p w:rsidR="003B1954" w:rsidRPr="00387D5F" w:rsidRDefault="003B1954">
            <w:pPr>
              <w:rPr>
                <w:i/>
              </w:rPr>
            </w:pPr>
            <w:r w:rsidRPr="00387D5F">
              <w:rPr>
                <w:bCs/>
                <w:i/>
              </w:rPr>
              <w:t>Se avsnittet om "Tillämpning av flexibla parkeringstal – med beräkningsexempel" i riktlinjerna</w:t>
            </w:r>
            <w:r w:rsidR="00B77A26">
              <w:rPr>
                <w:bCs/>
                <w:i/>
              </w:rPr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Fastighetsägare som får reduktion ska redovisa en reservplan för hur parkeringssituationen ska lösas om åtagandena om bilpool och/eller MM-åtgärder inte uppfylls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Kravet att ordna med kompletterande parkeringsplatser utlöses tidigast efter ett år från första inflyttning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/>
        </w:tc>
      </w:tr>
      <w:tr w:rsidR="003B1954" w:rsidRPr="003B1954" w:rsidTr="0055088E">
        <w:trPr>
          <w:trHeight w:val="348"/>
        </w:trPr>
        <w:tc>
          <w:tcPr>
            <w:tcW w:w="9288" w:type="dxa"/>
            <w:shd w:val="clear" w:color="auto" w:fill="DBE5F1" w:themeFill="accent1" w:themeFillTint="33"/>
            <w:hideMark/>
          </w:tcPr>
          <w:p w:rsidR="003B1954" w:rsidRPr="003B1954" w:rsidRDefault="003B1954">
            <w:r w:rsidRPr="003B1954">
              <w:rPr>
                <w:b/>
                <w:sz w:val="24"/>
                <w:szCs w:val="24"/>
              </w:rPr>
              <w:t>Reduktion för bilpool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 w:rsidP="00EE68F5">
            <w:r w:rsidRPr="003B1954">
              <w:t xml:space="preserve">• Reduktionen för bilpool för bostäder kan endast ges för de boende och inte för boendebesökare. </w:t>
            </w:r>
            <w:r w:rsidR="00EE68F5">
              <w:t xml:space="preserve">Reduktion för bilpool kan heller inte ges för platserna för rörelsehindrade. </w:t>
            </w:r>
            <w:r w:rsidRPr="003B1954">
              <w:t xml:space="preserve">Beräkningssnurran tar hänsyn till detta. Reduktionen är maximalt </w:t>
            </w:r>
            <w:proofErr w:type="gramStart"/>
            <w:r w:rsidRPr="003B1954">
              <w:t>20%</w:t>
            </w:r>
            <w:proofErr w:type="gramEnd"/>
            <w:r w:rsidRPr="003B1954">
              <w:t xml:space="preserve"> av grundtalet</w:t>
            </w:r>
            <w:r w:rsidR="00B77A26">
              <w:t>.</w:t>
            </w:r>
            <w:r w:rsidR="00EE68F5">
              <w:t xml:space="preserve"> 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 xml:space="preserve">• Reduktionen för bilpool för verksamheter kan endast ges för verksamma och inte för kunder/besökare till anläggningarna. </w:t>
            </w:r>
            <w:r w:rsidR="00B33C03">
              <w:t xml:space="preserve">Reduktion för bilpool kan heller inte ges för platserna för rörelsehindrade. </w:t>
            </w:r>
            <w:r w:rsidRPr="003B1954">
              <w:t xml:space="preserve">Beräkningssnurran tar hänsyn till detta. Reduktionen är maximalt </w:t>
            </w:r>
            <w:proofErr w:type="gramStart"/>
            <w:r w:rsidRPr="003B1954">
              <w:t>20%</w:t>
            </w:r>
            <w:proofErr w:type="gramEnd"/>
            <w:r w:rsidRPr="003B1954">
              <w:t xml:space="preserve"> av grundtalet</w:t>
            </w:r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Antalet bilpoolsplatser som rekommenderas i riktlinjerna får inte reduceras ytterligare genom MM-åtgärder eller samnyttjande. Beräkningssnurran tar hänsyn till detta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Bilpoolen ska vara långsiktigt knuten till fastigheten och finansieras av fastighetsägaren under minst fem år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Medlemskapet i bilpoolen ska ingå i hyra/månadsavgift för boende och verksamheter under fem år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Bilpoolen ska finnas på plats och vara i drift vid inflyttning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Särskilda platser med attraktivt läge ska reserveras för bilpoolsbilar</w:t>
            </w:r>
            <w:r w:rsidR="00EE68F5">
              <w:t xml:space="preserve"> inom fastigheten</w:t>
            </w:r>
            <w:r w:rsidRPr="003B1954">
              <w:t>, läget ska redovisas i bygglovet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I bygglovet ska också redovisas hur byggherren säkerställer att bilpoolen finns på plats vid inflyttning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pPr>
              <w:rPr>
                <w:bCs/>
                <w:i/>
              </w:rPr>
            </w:pPr>
            <w:r w:rsidRPr="003B1954">
              <w:rPr>
                <w:bCs/>
                <w:i/>
              </w:rPr>
              <w:t>Se vidare information i avsnittet "Steg 2 - Reduktion för bilpool" i riktlinjerna.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/>
        </w:tc>
      </w:tr>
      <w:tr w:rsidR="003B1954" w:rsidRPr="003B1954" w:rsidTr="0055088E">
        <w:trPr>
          <w:trHeight w:val="348"/>
        </w:trPr>
        <w:tc>
          <w:tcPr>
            <w:tcW w:w="9288" w:type="dxa"/>
            <w:shd w:val="clear" w:color="auto" w:fill="DBE5F1" w:themeFill="accent1" w:themeFillTint="33"/>
            <w:hideMark/>
          </w:tcPr>
          <w:p w:rsidR="003B1954" w:rsidRPr="003B1954" w:rsidRDefault="003B1954">
            <w:r w:rsidRPr="003B1954">
              <w:rPr>
                <w:b/>
                <w:sz w:val="24"/>
                <w:szCs w:val="24"/>
              </w:rPr>
              <w:t>Reduktion för Mobility Management- (MM-)åtgärder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Bilpoolen är första steget i reduktionen av parkeringstalen. Om ingen bilpool förbereds, kan inte reduktion för andra MM-åtgärder ges</w:t>
            </w:r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 xml:space="preserve">• Reduktionen för MM-åtgärder för bostäder kan endast ges för de boende och inte för boendebesökare. </w:t>
            </w:r>
            <w:r w:rsidR="00B33C03">
              <w:t xml:space="preserve">Reduktion för MM-åtgärder kan heller inte ges för platserna för rörelsehindrade. </w:t>
            </w:r>
            <w:r w:rsidRPr="003B1954">
              <w:t>Beräkningssnurran tar hänsyn till detta</w:t>
            </w:r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 xml:space="preserve">• Reduktionen för MM-åtgärder för verksamheter kan endast ges för verksamma och inte för kunder/besökare till anläggningarna. </w:t>
            </w:r>
            <w:r w:rsidR="00B33C03">
              <w:t xml:space="preserve">Reduktion för MM-åtgärder kan heller inte ges för platserna för rörelsehindrade. </w:t>
            </w:r>
            <w:r w:rsidRPr="003B1954">
              <w:t>Beräkningssnurran tar hänsyn till detta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 xml:space="preserve">• Ett paket om minst fem olika MM-åtgärder ska genomföras för att få full reduktion som är </w:t>
            </w:r>
            <w:proofErr w:type="gramStart"/>
            <w:r w:rsidRPr="003B1954">
              <w:t>10%</w:t>
            </w:r>
            <w:proofErr w:type="gramEnd"/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Vid ett åtagande om färre än fem MM-åtgärder minskas reduktionen i motsvarande grad. Exempelvis skulle ett åtagande om tre åtgärder kunna ge en reduktion på 5-6% beroende på hur "starka" åtgärderna är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En lista med förslag på MM-åtgärder finns i riktlinjerna. Egna idéer och initiativ från byggherrar välkomnas</w:t>
            </w:r>
            <w:r w:rsidR="00B77A26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MM-åtgärderna ska finnas på plats vid inflyttning och hålla full funktion över tid</w:t>
            </w:r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I bygglovet ska redovisas hur byggherren tänker implementera MM-åtgärderna. Byggherren ska också visa en plan för årlig uppföljning, samt för drift och underhåll av anläggningar och inventarier</w:t>
            </w:r>
            <w:r w:rsidR="00B77A26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87D5F" w:rsidRDefault="003B1954">
            <w:r w:rsidRPr="003B1954">
              <w:t xml:space="preserve">• För att avdrag ska medges för cykelparkering ska denna utformas med Guldnivå. </w:t>
            </w:r>
          </w:p>
          <w:p w:rsidR="003B1954" w:rsidRPr="00387D5F" w:rsidRDefault="003B1954">
            <w:pPr>
              <w:rPr>
                <w:i/>
              </w:rPr>
            </w:pPr>
            <w:r w:rsidRPr="00387D5F">
              <w:rPr>
                <w:bCs/>
                <w:i/>
              </w:rPr>
              <w:t>Se vidare information i broschyren "Den perfekta cykelparkeringen"</w:t>
            </w:r>
            <w:r w:rsidR="00B77A26">
              <w:rPr>
                <w:bCs/>
                <w:i/>
              </w:rPr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pPr>
              <w:rPr>
                <w:bCs/>
                <w:i/>
              </w:rPr>
            </w:pPr>
            <w:r w:rsidRPr="003B1954">
              <w:rPr>
                <w:bCs/>
                <w:i/>
              </w:rPr>
              <w:t>Se vidare information i avsnittet "Steg 3 - Reduktion för övriga Mobility Management-åtgärder" i riktlinjerna.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/>
        </w:tc>
      </w:tr>
      <w:tr w:rsidR="003B1954" w:rsidRPr="003B1954" w:rsidTr="0055088E">
        <w:trPr>
          <w:trHeight w:val="348"/>
        </w:trPr>
        <w:tc>
          <w:tcPr>
            <w:tcW w:w="9288" w:type="dxa"/>
            <w:shd w:val="clear" w:color="auto" w:fill="DBE5F1" w:themeFill="accent1" w:themeFillTint="33"/>
            <w:hideMark/>
          </w:tcPr>
          <w:p w:rsidR="003B1954" w:rsidRPr="003B1954" w:rsidRDefault="003B1954">
            <w:pPr>
              <w:rPr>
                <w:b/>
                <w:sz w:val="24"/>
                <w:szCs w:val="24"/>
              </w:rPr>
            </w:pPr>
            <w:r w:rsidRPr="003B1954">
              <w:rPr>
                <w:b/>
                <w:sz w:val="24"/>
                <w:szCs w:val="24"/>
              </w:rPr>
              <w:t>Reduktion för samnyttjande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Reduktion för samnyttjande kan göras för de parkeringsplatser som fastighetsägaren avser ordna på den egna fastigheten</w:t>
            </w:r>
            <w:r w:rsidR="003B1C29">
              <w:t>.</w:t>
            </w:r>
          </w:p>
        </w:tc>
      </w:tr>
      <w:tr w:rsidR="003B1954" w:rsidRPr="003B1954" w:rsidTr="003B1954">
        <w:trPr>
          <w:trHeight w:val="330"/>
        </w:trPr>
        <w:tc>
          <w:tcPr>
            <w:tcW w:w="9288" w:type="dxa"/>
            <w:hideMark/>
          </w:tcPr>
          <w:p w:rsidR="003B1954" w:rsidRPr="003B1954" w:rsidRDefault="003B1954" w:rsidP="003B1C29">
            <w:r w:rsidRPr="003B1954">
              <w:t>• Det går att få reduktion för sa</w:t>
            </w:r>
            <w:r w:rsidR="003B1C29">
              <w:t>mnyttjande av samtliga platser eller för en del av platserna.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Om alla platser ska lösas genom parkeringsköp kan fastighetsägaren inte få någon reduktion för samnyttjande</w:t>
            </w:r>
            <w:r w:rsidR="003B1C29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För att få reduktion för samnyttjande förutsätts att det är flera olika typer av lokaler/funktioner som delar på platserna i en gemensam parkeringsanläggning</w:t>
            </w:r>
            <w:r w:rsidR="003B1C29">
              <w:t>.</w:t>
            </w:r>
          </w:p>
        </w:tc>
      </w:tr>
      <w:tr w:rsidR="003B1954" w:rsidRPr="003B1954" w:rsidTr="003B1954">
        <w:trPr>
          <w:trHeight w:val="576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Vid samnyttjande får inga platser reserveras för särskilda registreringsnummer eller särskilda kundgrupper, undantaget platser för personer med rörelsenedsättning samt bilpoolsplatser</w:t>
            </w:r>
            <w:r w:rsidR="003B1C29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r w:rsidRPr="003B1954">
              <w:t>• Samnyttjandet ska vara varaktigt bestående</w:t>
            </w:r>
            <w:r w:rsidR="003B1C29">
              <w:t>.</w:t>
            </w:r>
          </w:p>
        </w:tc>
      </w:tr>
      <w:tr w:rsidR="003B1954" w:rsidRPr="003B1954" w:rsidTr="003B1954">
        <w:trPr>
          <w:trHeight w:val="288"/>
        </w:trPr>
        <w:tc>
          <w:tcPr>
            <w:tcW w:w="9288" w:type="dxa"/>
            <w:hideMark/>
          </w:tcPr>
          <w:p w:rsidR="003B1954" w:rsidRPr="003B1954" w:rsidRDefault="003B1954">
            <w:pPr>
              <w:rPr>
                <w:bCs/>
                <w:i/>
              </w:rPr>
            </w:pPr>
            <w:r w:rsidRPr="003B1954">
              <w:rPr>
                <w:bCs/>
                <w:i/>
              </w:rPr>
              <w:t>Se vidare information i avsnittet "Steg 4 - Reduktion för samnyttjande" i riktlinjerna.</w:t>
            </w:r>
          </w:p>
        </w:tc>
      </w:tr>
    </w:tbl>
    <w:p w:rsidR="00D857F0" w:rsidRDefault="00D857F0"/>
    <w:sectPr w:rsidR="00D857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26" w:rsidRDefault="00B77A26" w:rsidP="00122A7D">
      <w:pPr>
        <w:spacing w:after="0" w:line="240" w:lineRule="auto"/>
      </w:pPr>
      <w:r>
        <w:separator/>
      </w:r>
    </w:p>
  </w:endnote>
  <w:endnote w:type="continuationSeparator" w:id="0">
    <w:p w:rsidR="00B77A26" w:rsidRDefault="00B77A26" w:rsidP="0012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26" w:rsidRDefault="00B77A26" w:rsidP="00122A7D">
      <w:pPr>
        <w:spacing w:after="0" w:line="240" w:lineRule="auto"/>
      </w:pPr>
      <w:r>
        <w:separator/>
      </w:r>
    </w:p>
  </w:footnote>
  <w:footnote w:type="continuationSeparator" w:id="0">
    <w:p w:rsidR="00B77A26" w:rsidRDefault="00B77A26" w:rsidP="0012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477648756"/>
      <w:docPartObj>
        <w:docPartGallery w:val="Page Numbers (Top of Page)"/>
        <w:docPartUnique/>
      </w:docPartObj>
    </w:sdtPr>
    <w:sdtEndPr/>
    <w:sdtContent>
      <w:p w:rsidR="00B77A26" w:rsidRPr="00122A7D" w:rsidRDefault="00B77A26">
        <w:pPr>
          <w:pStyle w:val="Sidhuvud"/>
          <w:jc w:val="right"/>
          <w:rPr>
            <w:sz w:val="16"/>
            <w:szCs w:val="16"/>
          </w:rPr>
        </w:pPr>
        <w:r w:rsidRPr="00122A7D">
          <w:rPr>
            <w:sz w:val="16"/>
            <w:szCs w:val="16"/>
          </w:rPr>
          <w:t xml:space="preserve">Sida </w:t>
        </w:r>
        <w:r w:rsidRPr="00122A7D">
          <w:rPr>
            <w:b/>
            <w:bCs/>
            <w:sz w:val="16"/>
            <w:szCs w:val="16"/>
          </w:rPr>
          <w:fldChar w:fldCharType="begin"/>
        </w:r>
        <w:r w:rsidRPr="00122A7D">
          <w:rPr>
            <w:b/>
            <w:bCs/>
            <w:sz w:val="16"/>
            <w:szCs w:val="16"/>
          </w:rPr>
          <w:instrText>PAGE</w:instrText>
        </w:r>
        <w:r w:rsidRPr="00122A7D">
          <w:rPr>
            <w:b/>
            <w:bCs/>
            <w:sz w:val="16"/>
            <w:szCs w:val="16"/>
          </w:rPr>
          <w:fldChar w:fldCharType="separate"/>
        </w:r>
        <w:r w:rsidR="00055EEB">
          <w:rPr>
            <w:b/>
            <w:bCs/>
            <w:noProof/>
            <w:sz w:val="16"/>
            <w:szCs w:val="16"/>
          </w:rPr>
          <w:t>1</w:t>
        </w:r>
        <w:r w:rsidRPr="00122A7D">
          <w:rPr>
            <w:b/>
            <w:bCs/>
            <w:sz w:val="16"/>
            <w:szCs w:val="16"/>
          </w:rPr>
          <w:fldChar w:fldCharType="end"/>
        </w:r>
        <w:r w:rsidRPr="00122A7D">
          <w:rPr>
            <w:sz w:val="16"/>
            <w:szCs w:val="16"/>
          </w:rPr>
          <w:t xml:space="preserve"> av </w:t>
        </w:r>
        <w:r w:rsidRPr="00122A7D">
          <w:rPr>
            <w:b/>
            <w:bCs/>
            <w:sz w:val="16"/>
            <w:szCs w:val="16"/>
          </w:rPr>
          <w:fldChar w:fldCharType="begin"/>
        </w:r>
        <w:r w:rsidRPr="00122A7D">
          <w:rPr>
            <w:b/>
            <w:bCs/>
            <w:sz w:val="16"/>
            <w:szCs w:val="16"/>
          </w:rPr>
          <w:instrText>NUMPAGES</w:instrText>
        </w:r>
        <w:r w:rsidRPr="00122A7D">
          <w:rPr>
            <w:b/>
            <w:bCs/>
            <w:sz w:val="16"/>
            <w:szCs w:val="16"/>
          </w:rPr>
          <w:fldChar w:fldCharType="separate"/>
        </w:r>
        <w:r w:rsidR="00055EEB">
          <w:rPr>
            <w:b/>
            <w:bCs/>
            <w:noProof/>
            <w:sz w:val="16"/>
            <w:szCs w:val="16"/>
          </w:rPr>
          <w:t>3</w:t>
        </w:r>
        <w:r w:rsidRPr="00122A7D">
          <w:rPr>
            <w:b/>
            <w:bCs/>
            <w:sz w:val="16"/>
            <w:szCs w:val="16"/>
          </w:rPr>
          <w:fldChar w:fldCharType="end"/>
        </w:r>
      </w:p>
    </w:sdtContent>
  </w:sdt>
  <w:p w:rsidR="00B77A26" w:rsidRDefault="00B77A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54"/>
    <w:rsid w:val="00055EEB"/>
    <w:rsid w:val="00122A7D"/>
    <w:rsid w:val="001F4277"/>
    <w:rsid w:val="00387D5F"/>
    <w:rsid w:val="003B1954"/>
    <w:rsid w:val="003B1C29"/>
    <w:rsid w:val="0055088E"/>
    <w:rsid w:val="006B6EE2"/>
    <w:rsid w:val="009A45EA"/>
    <w:rsid w:val="00B33C03"/>
    <w:rsid w:val="00B76BDD"/>
    <w:rsid w:val="00B77A26"/>
    <w:rsid w:val="00D857F0"/>
    <w:rsid w:val="00EE68F5"/>
    <w:rsid w:val="00F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2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2A7D"/>
  </w:style>
  <w:style w:type="paragraph" w:styleId="Sidfot">
    <w:name w:val="footer"/>
    <w:basedOn w:val="Normal"/>
    <w:link w:val="SidfotChar"/>
    <w:uiPriority w:val="99"/>
    <w:unhideWhenUsed/>
    <w:rsid w:val="0012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2A7D"/>
  </w:style>
  <w:style w:type="paragraph" w:styleId="Ballongtext">
    <w:name w:val="Balloon Text"/>
    <w:basedOn w:val="Normal"/>
    <w:link w:val="BallongtextChar"/>
    <w:uiPriority w:val="99"/>
    <w:semiHidden/>
    <w:unhideWhenUsed/>
    <w:rsid w:val="00B7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2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2A7D"/>
  </w:style>
  <w:style w:type="paragraph" w:styleId="Sidfot">
    <w:name w:val="footer"/>
    <w:basedOn w:val="Normal"/>
    <w:link w:val="SidfotChar"/>
    <w:uiPriority w:val="99"/>
    <w:unhideWhenUsed/>
    <w:rsid w:val="0012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2A7D"/>
  </w:style>
  <w:style w:type="paragraph" w:styleId="Ballongtext">
    <w:name w:val="Balloon Text"/>
    <w:basedOn w:val="Normal"/>
    <w:link w:val="BallongtextChar"/>
    <w:uiPriority w:val="99"/>
    <w:semiHidden/>
    <w:unhideWhenUsed/>
    <w:rsid w:val="00B7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7378</Characters>
  <Application>Microsoft Office Word</Application>
  <DocSecurity>4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Thunblom, Alexandra</dc:creator>
  <cp:lastModifiedBy>Löfvander, Susanne</cp:lastModifiedBy>
  <cp:revision>2</cp:revision>
  <cp:lastPrinted>2016-06-20T08:20:00Z</cp:lastPrinted>
  <dcterms:created xsi:type="dcterms:W3CDTF">2016-06-20T09:52:00Z</dcterms:created>
  <dcterms:modified xsi:type="dcterms:W3CDTF">2016-06-20T09:52:00Z</dcterms:modified>
</cp:coreProperties>
</file>