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EB" w:rsidRPr="000513C8" w:rsidRDefault="00BC74EB" w:rsidP="00BC74EB">
      <w:pPr>
        <w:pStyle w:val="Rubrik1-Numrering"/>
        <w:numPr>
          <w:ilvl w:val="0"/>
          <w:numId w:val="0"/>
        </w:numPr>
      </w:pPr>
      <w:r>
        <w:t>Västerås stads b</w:t>
      </w:r>
      <w:r w:rsidRPr="000513C8">
        <w:t>randskyddsregler</w:t>
      </w:r>
    </w:p>
    <w:p w:rsidR="00BC74EB" w:rsidRDefault="00BC74EB" w:rsidP="00BC74EB">
      <w:pPr>
        <w:pStyle w:val="Brdtext"/>
        <w:spacing w:before="68" w:line="288" w:lineRule="auto"/>
        <w:ind w:right="986"/>
        <w:rPr>
          <w:lang w:val="sv-SE"/>
        </w:rPr>
      </w:pPr>
    </w:p>
    <w:p w:rsidR="00BC74EB" w:rsidRPr="00442929" w:rsidRDefault="00BC74EB" w:rsidP="00BC74EB">
      <w:r w:rsidRPr="00442929">
        <w:t xml:space="preserve">Alla personer som vistas mer än tillfälligt i byggnad som nyttjas eller ägs av kommunen skall känna till stadens brandskyddsregler och följa dessa. De har också rättigheten och skyldigheten att påtala </w:t>
      </w:r>
      <w:r>
        <w:t xml:space="preserve">det saknas resurser eller </w:t>
      </w:r>
      <w:r w:rsidR="000A2B8C">
        <w:t xml:space="preserve">möjligheter </w:t>
      </w:r>
      <w:r w:rsidR="000A2B8C" w:rsidRPr="00442929">
        <w:t>för</w:t>
      </w:r>
      <w:r w:rsidRPr="00442929">
        <w:t xml:space="preserve"> att </w:t>
      </w:r>
      <w:r>
        <w:t xml:space="preserve">kunna </w:t>
      </w:r>
      <w:r w:rsidRPr="00442929">
        <w:t>följa reglerna.</w:t>
      </w:r>
    </w:p>
    <w:p w:rsidR="00BC74EB" w:rsidRPr="00442929" w:rsidRDefault="00BC74EB" w:rsidP="00BC74EB">
      <w:r w:rsidRPr="00442929">
        <w:t xml:space="preserve">I samband med nyanställning inom Västerås Stad ska </w:t>
      </w:r>
      <w:r>
        <w:t>varje anställd medarbetare</w:t>
      </w:r>
      <w:r w:rsidRPr="00442929">
        <w:t>:</w:t>
      </w:r>
    </w:p>
    <w:p w:rsidR="00BC74EB" w:rsidRPr="00442929" w:rsidRDefault="00BC74EB" w:rsidP="00BC74EB">
      <w:pPr>
        <w:pStyle w:val="Brdtext"/>
        <w:spacing w:before="10"/>
        <w:rPr>
          <w:sz w:val="21"/>
          <w:lang w:val="sv-SE"/>
        </w:rPr>
      </w:pPr>
    </w:p>
    <w:p w:rsidR="00BC74EB" w:rsidRPr="00442929" w:rsidRDefault="00BC74EB" w:rsidP="00BC74EB">
      <w:pPr>
        <w:pStyle w:val="Liststycke"/>
        <w:numPr>
          <w:ilvl w:val="0"/>
          <w:numId w:val="12"/>
        </w:numPr>
      </w:pPr>
      <w:r w:rsidRPr="00442929">
        <w:t>läsa dessa</w:t>
      </w:r>
      <w:r w:rsidRPr="000513C8">
        <w:rPr>
          <w:spacing w:val="-6"/>
        </w:rPr>
        <w:t xml:space="preserve"> </w:t>
      </w:r>
      <w:r w:rsidRPr="00442929">
        <w:t>brandskyddregler</w:t>
      </w:r>
    </w:p>
    <w:p w:rsidR="00BC74EB" w:rsidRPr="00442929" w:rsidRDefault="00BC74EB" w:rsidP="00BC74EB">
      <w:pPr>
        <w:pStyle w:val="Liststycke"/>
        <w:numPr>
          <w:ilvl w:val="0"/>
          <w:numId w:val="12"/>
        </w:numPr>
      </w:pPr>
      <w:r w:rsidRPr="00442929">
        <w:t>känna till eventuella lokala brand- och säkerhetsregler för arbetsplats</w:t>
      </w:r>
      <w:r>
        <w:t>en</w:t>
      </w:r>
    </w:p>
    <w:p w:rsidR="00BC74EB" w:rsidRPr="005D27F8" w:rsidRDefault="00BC74EB" w:rsidP="00BC74EB">
      <w:pPr>
        <w:pStyle w:val="Liststycke"/>
        <w:numPr>
          <w:ilvl w:val="0"/>
          <w:numId w:val="12"/>
        </w:numPr>
      </w:pPr>
      <w:r w:rsidRPr="00442929">
        <w:t>känna till att en god ordning och reda alltid innebär en minskad risk för</w:t>
      </w:r>
      <w:r w:rsidRPr="000513C8">
        <w:rPr>
          <w:spacing w:val="-31"/>
        </w:rPr>
        <w:t xml:space="preserve"> </w:t>
      </w:r>
      <w:r w:rsidRPr="00442929">
        <w:t>brand</w:t>
      </w:r>
    </w:p>
    <w:p w:rsidR="00BC74EB" w:rsidRPr="00442929" w:rsidRDefault="00BC74EB" w:rsidP="00BC74EB">
      <w:pPr>
        <w:pStyle w:val="Liststycke"/>
        <w:numPr>
          <w:ilvl w:val="0"/>
          <w:numId w:val="12"/>
        </w:numPr>
      </w:pPr>
      <w:r w:rsidRPr="00442929">
        <w:t>studera aktuella utrymningsplaner</w:t>
      </w:r>
      <w:r>
        <w:t xml:space="preserve"> och arbetsplatsens nödlägesberedskap</w:t>
      </w:r>
      <w:r w:rsidRPr="00442929">
        <w:t xml:space="preserve"> tillsammans med </w:t>
      </w:r>
      <w:r>
        <w:t>brandskyddsansvarig eller arbetsplatsens brandskyddsombud</w:t>
      </w:r>
    </w:p>
    <w:p w:rsidR="00BC74EB" w:rsidRPr="00442929" w:rsidRDefault="00BC74EB" w:rsidP="00BC74EB">
      <w:pPr>
        <w:pStyle w:val="Liststycke"/>
        <w:numPr>
          <w:ilvl w:val="0"/>
          <w:numId w:val="12"/>
        </w:numPr>
      </w:pPr>
      <w:r w:rsidRPr="00442929">
        <w:t xml:space="preserve">informeras </w:t>
      </w:r>
      <w:r w:rsidR="000A2B8C" w:rsidRPr="00442929">
        <w:t xml:space="preserve">om </w:t>
      </w:r>
      <w:r w:rsidR="000A2B8C">
        <w:t>var</w:t>
      </w:r>
      <w:r>
        <w:t xml:space="preserve"> tillgänglig brandutrustning finns</w:t>
      </w:r>
    </w:p>
    <w:p w:rsidR="00BC74EB" w:rsidRPr="00442929" w:rsidRDefault="00BC74EB" w:rsidP="00BC74EB">
      <w:pPr>
        <w:pStyle w:val="Liststycke"/>
        <w:numPr>
          <w:ilvl w:val="0"/>
          <w:numId w:val="12"/>
        </w:numPr>
      </w:pPr>
      <w:r w:rsidRPr="00442929">
        <w:t xml:space="preserve">veta hur larmning sker internt och hur den kommunala räddningstjänsten, </w:t>
      </w:r>
      <w:r>
        <w:t xml:space="preserve">polis eller </w:t>
      </w:r>
      <w:r w:rsidR="000A2B8C">
        <w:t xml:space="preserve">väktare </w:t>
      </w:r>
      <w:r w:rsidR="000A2B8C" w:rsidRPr="000513C8">
        <w:rPr>
          <w:spacing w:val="-5"/>
        </w:rPr>
        <w:t>larmas</w:t>
      </w:r>
    </w:p>
    <w:p w:rsidR="00BC74EB" w:rsidRPr="00442929" w:rsidRDefault="00BC74EB" w:rsidP="00BC74EB"/>
    <w:p w:rsidR="00BC74EB" w:rsidRPr="00442929" w:rsidRDefault="00BC74EB" w:rsidP="00BC74EB">
      <w:r w:rsidRPr="00442929">
        <w:t>Särskilda krav ställs på personal i arbetsledande befattning som ska föregå med gott exempel i brandskyddsfrågor.</w:t>
      </w:r>
    </w:p>
    <w:p w:rsidR="00BC74EB" w:rsidRPr="00442929" w:rsidRDefault="00BC74EB" w:rsidP="00BC74EB">
      <w:pPr>
        <w:pStyle w:val="Brdtext"/>
        <w:spacing w:before="4"/>
        <w:rPr>
          <w:sz w:val="27"/>
          <w:lang w:val="sv-SE"/>
        </w:rPr>
      </w:pPr>
    </w:p>
    <w:p w:rsidR="00BC74EB" w:rsidRPr="00442929" w:rsidRDefault="00BC74EB" w:rsidP="00BC74EB">
      <w:pPr>
        <w:pStyle w:val="Rubrik2"/>
      </w:pPr>
      <w:r w:rsidRPr="00442929">
        <w:t>UNDANTAG</w:t>
      </w:r>
    </w:p>
    <w:p w:rsidR="00BC74EB" w:rsidRPr="00442929" w:rsidRDefault="00BC74EB" w:rsidP="00BC74EB">
      <w:r w:rsidRPr="00442929">
        <w:t xml:space="preserve">För vissa verksamheter kan undantag från brandskyddsreglerna godtas. Beslut om undantag fattas av ansvarig chef tillika brandskyddsansvarig. Det är dock viktigt att känna till, värdera och hantera riskerna med </w:t>
      </w:r>
      <w:r w:rsidR="000F7B5E">
        <w:t>ett undantag.</w:t>
      </w:r>
    </w:p>
    <w:p w:rsidR="00BC74EB" w:rsidRPr="00442929" w:rsidRDefault="00BC74EB" w:rsidP="00BC74EB">
      <w:pPr>
        <w:pStyle w:val="Brdtext"/>
        <w:spacing w:before="4"/>
        <w:rPr>
          <w:sz w:val="33"/>
          <w:lang w:val="sv-SE"/>
        </w:rPr>
      </w:pPr>
    </w:p>
    <w:p w:rsidR="00BC74EB" w:rsidRDefault="00BC74EB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C74EB" w:rsidRPr="000513C8" w:rsidRDefault="00BC74EB" w:rsidP="00293000">
      <w:pPr>
        <w:pStyle w:val="Rubrik1-Numrering"/>
        <w:numPr>
          <w:ilvl w:val="0"/>
          <w:numId w:val="0"/>
        </w:numPr>
      </w:pPr>
      <w:r w:rsidRPr="000513C8">
        <w:lastRenderedPageBreak/>
        <w:t>Brandskyddsregler</w:t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Heta arbeten</w:t>
      </w:r>
    </w:p>
    <w:p w:rsidR="00BC74EB" w:rsidRPr="00442929" w:rsidRDefault="00BC74EB" w:rsidP="00BC74EB">
      <w:r w:rsidRPr="00442929">
        <w:t>Innan tillfälliga heta arbeten (</w:t>
      </w:r>
      <w:r w:rsidR="000F7B5E">
        <w:t>till exempel</w:t>
      </w:r>
      <w:r w:rsidRPr="00442929">
        <w:t xml:space="preserve">svetsning, lödning, skärning) utförs inomhus </w:t>
      </w:r>
      <w:r w:rsidR="000F7B5E">
        <w:t>ska</w:t>
      </w:r>
      <w:r w:rsidR="000F7B5E" w:rsidRPr="00442929">
        <w:t xml:space="preserve"> </w:t>
      </w:r>
      <w:r w:rsidRPr="00442929">
        <w:t xml:space="preserve">ett särskilt tillstånd utfärdas av tillståndsansvarig. Regler för heta arbeten ska </w:t>
      </w:r>
      <w:r w:rsidR="00877F9A" w:rsidRPr="00442929">
        <w:t>följas före</w:t>
      </w:r>
      <w:r w:rsidRPr="00442929">
        <w:t>, under och efter arbetet.</w:t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Rutiner vid byggarbeten</w:t>
      </w:r>
    </w:p>
    <w:p w:rsidR="00BC74EB" w:rsidRPr="00442929" w:rsidRDefault="000F7B5E" w:rsidP="00BC74EB">
      <w:r>
        <w:t>Skräp, dörrkilar med mera</w:t>
      </w:r>
      <w:r w:rsidR="00BC74EB" w:rsidRPr="00442929">
        <w:t xml:space="preserve"> får inte placeras så de hindrar en fullgod branddörrstängning eller </w:t>
      </w:r>
      <w:r w:rsidR="00BC74EB">
        <w:t>u</w:t>
      </w:r>
      <w:r w:rsidR="00BC74EB" w:rsidRPr="00442929">
        <w:t xml:space="preserve">trymning. </w:t>
      </w:r>
      <w:r>
        <w:t>Byggavfall och brännbart material</w:t>
      </w:r>
      <w:r w:rsidR="00BC74EB" w:rsidRPr="00442929">
        <w:t xml:space="preserve"> får aldrig placeras i utrymningsvägar, trapphus, ventilationsrum, el-central </w:t>
      </w:r>
      <w:r w:rsidR="000A2B8C" w:rsidRPr="00442929">
        <w:t>med mera</w:t>
      </w:r>
      <w:r w:rsidR="000A2B8C">
        <w:t>.</w:t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El-centraler</w:t>
      </w:r>
    </w:p>
    <w:p w:rsidR="00BC74EB" w:rsidRPr="00442929" w:rsidRDefault="00BC74EB" w:rsidP="00BC74EB">
      <w:r w:rsidRPr="000513C8">
        <w:t>El-centraler, apparatskåp och belysningsarmatur skall ha ett fritt avstånd från brännbart</w:t>
      </w:r>
      <w:r w:rsidRPr="00442929">
        <w:t xml:space="preserve"> material med minst 120 cm.</w:t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Belysningsarmatur</w:t>
      </w:r>
    </w:p>
    <w:p w:rsidR="00BC74EB" w:rsidRPr="00442929" w:rsidRDefault="00BC74EB" w:rsidP="00BC74EB">
      <w:r w:rsidRPr="00442929">
        <w:t>Blinkande lysrör eller annan trasig armatur skall omgående felanmälas.</w:t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Elektriska installationer</w:t>
      </w:r>
    </w:p>
    <w:p w:rsidR="00BC74EB" w:rsidRPr="00442929" w:rsidRDefault="00BC74EB" w:rsidP="00BC74EB">
      <w:r w:rsidRPr="00442929">
        <w:t>Elektriska installationer som kopplas in på elsystem ska normalt vara CE-märkt. Det är inte tillåtet att seriekoppla skarvsladdar. Vid tveksamheter kontakta brandskyddsanasvarig eller lokalt brandskyddsombud.</w:t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Brandsläckningsutrustning</w:t>
      </w:r>
    </w:p>
    <w:p w:rsidR="00BC74EB" w:rsidRPr="00442929" w:rsidRDefault="00BC74EB" w:rsidP="00BC74EB">
      <w:r w:rsidRPr="00442929">
        <w:t>Brandsläckningsutrustning får inte blockeras. Om utrustning använts till exempel vid en brand, måste detta meddelas brandskyddsansvarig eller brandskyddsombud och tillsyn/service ska genomföras omgående.</w:t>
      </w:r>
    </w:p>
    <w:p w:rsidR="000A2B8C" w:rsidRDefault="00BC74EB" w:rsidP="00293000">
      <w:pPr>
        <w:pStyle w:val="Rubrik3-Numrering"/>
        <w:numPr>
          <w:ilvl w:val="0"/>
          <w:numId w:val="0"/>
        </w:numPr>
      </w:pPr>
      <w:r w:rsidRPr="00BC74EB">
        <w:t>Lagring av brännbart material utomhus</w:t>
      </w:r>
    </w:p>
    <w:p w:rsidR="000A2B8C" w:rsidRDefault="000A2B8C" w:rsidP="000A2B8C">
      <w:r w:rsidRPr="000A2B8C">
        <w:t>Container</w:t>
      </w:r>
      <w:r>
        <w:t xml:space="preserve"> </w:t>
      </w:r>
      <w:r w:rsidRPr="000A2B8C">
        <w:t>ska vara placerad minst 6 meter från upplag, byggnad eller utstickande tak.</w:t>
      </w:r>
    </w:p>
    <w:p w:rsidR="000A2B8C" w:rsidRPr="000A2B8C" w:rsidRDefault="000A2B8C" w:rsidP="000A2B8C"/>
    <w:p w:rsidR="000A2B8C" w:rsidRDefault="000A2B8C" w:rsidP="000A2B8C">
      <w:r w:rsidRPr="000A2B8C">
        <w:t>Utomhus befintligt sopkärl</w:t>
      </w:r>
      <w:r>
        <w:rPr>
          <w:b/>
        </w:rPr>
        <w:t xml:space="preserve"> </w:t>
      </w:r>
      <w:r w:rsidRPr="000A2B8C">
        <w:t>eller papperskorg får inte placeras närmare än fyra meter från byggnadens vägg, lastbrygga eller tak.</w:t>
      </w:r>
      <w:r>
        <w:br/>
      </w:r>
      <w:r>
        <w:br/>
      </w:r>
      <w:r w:rsidRPr="000A2B8C">
        <w:t>Utomhus förvarat brännbart material</w:t>
      </w:r>
      <w:r>
        <w:t xml:space="preserve"> </w:t>
      </w:r>
      <w:r w:rsidRPr="000A2B8C">
        <w:t>eller upplag ska placeras minst 9 meter från lastbryggor, skärmtak</w:t>
      </w:r>
      <w:bookmarkStart w:id="0" w:name="_GoBack"/>
      <w:bookmarkEnd w:id="0"/>
      <w:r w:rsidRPr="000A2B8C">
        <w:t xml:space="preserve"> eller byggnad.</w:t>
      </w:r>
    </w:p>
    <w:p w:rsidR="000A2B8C" w:rsidRDefault="000A2B8C" w:rsidP="000A2B8C"/>
    <w:p w:rsidR="000A2B8C" w:rsidRPr="000A2B8C" w:rsidRDefault="000A2B8C" w:rsidP="000A2B8C">
      <w:pPr>
        <w:rPr>
          <w:b/>
          <w:caps/>
        </w:rPr>
      </w:pPr>
      <w:r>
        <w:br/>
      </w:r>
      <w:r>
        <w:br/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lastRenderedPageBreak/>
        <w:t>Brandfarlig vara</w:t>
      </w:r>
    </w:p>
    <w:p w:rsidR="00BC74EB" w:rsidRPr="00442929" w:rsidRDefault="00BC74EB" w:rsidP="00BC74EB">
      <w:r w:rsidRPr="00442929">
        <w:t>Eventuella brandfarliga gaser och vätskor ska hanteras enligt SRVFS 2004:7, föreskrifter om brandfarliga gaser och vätskor. Vid hantering av brandfarlig vara ska du följa föreståndarens anvisningar.</w:t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Utrymningsväg</w:t>
      </w:r>
    </w:p>
    <w:p w:rsidR="00BC74EB" w:rsidRPr="00442929" w:rsidRDefault="00BC74EB" w:rsidP="00BC74EB">
      <w:r w:rsidRPr="00442929">
        <w:t>Utrymningsvägar får inte blockeras. Utrymningsvägar skall hållas fria från brännbart material och annat som kan försvåra utrymning.</w:t>
      </w:r>
    </w:p>
    <w:p w:rsidR="00BC74EB" w:rsidRPr="00442929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Driftutrymmen (utrymmen för tekniska installationer)</w:t>
      </w:r>
    </w:p>
    <w:p w:rsidR="00BC74EB" w:rsidRPr="00442929" w:rsidRDefault="00BC74EB" w:rsidP="00BC74EB">
      <w:r w:rsidRPr="00442929">
        <w:t>Det är inte tillåtet att förvara brännbart material i driftutrymmen.</w:t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Källare</w:t>
      </w:r>
    </w:p>
    <w:p w:rsidR="00BC74EB" w:rsidRPr="00442929" w:rsidRDefault="00BC74EB" w:rsidP="00BC74EB">
      <w:r w:rsidRPr="00442929">
        <w:t>Det är inte tillåtet att förvara brännbart material i källargångar.</w:t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Rökförbud</w:t>
      </w:r>
    </w:p>
    <w:p w:rsidR="00BC74EB" w:rsidRPr="00442929" w:rsidRDefault="00BC74EB" w:rsidP="00BC74EB">
      <w:r w:rsidRPr="00442929">
        <w:t>Rökförbud gäller inomhus i Västerås Stads samtliga lokaler.</w:t>
      </w:r>
    </w:p>
    <w:p w:rsidR="00BC74EB" w:rsidRPr="00BC74EB" w:rsidRDefault="00BC74EB" w:rsidP="00293000">
      <w:pPr>
        <w:pStyle w:val="Rubrik3-Numrering"/>
        <w:numPr>
          <w:ilvl w:val="0"/>
          <w:numId w:val="0"/>
        </w:numPr>
        <w:rPr>
          <w:caps/>
        </w:rPr>
      </w:pPr>
      <w:r w:rsidRPr="00BC74EB">
        <w:t>Öppen eld</w:t>
      </w:r>
    </w:p>
    <w:p w:rsidR="001E2F9F" w:rsidRPr="00BC74EB" w:rsidRDefault="00BC74EB" w:rsidP="00BC74EB">
      <w:r w:rsidRPr="00442929">
        <w:t>Öppen eld</w:t>
      </w:r>
      <w:r w:rsidR="000F7B5E">
        <w:t>, l</w:t>
      </w:r>
      <w:r w:rsidRPr="00442929">
        <w:t>evande ljus är förbjudet inomhus</w:t>
      </w:r>
      <w:r w:rsidR="000F7B5E">
        <w:rPr>
          <w:rStyle w:val="Fotnotsreferens"/>
        </w:rPr>
        <w:footnoteReference w:id="1"/>
      </w:r>
      <w:r w:rsidRPr="00442929">
        <w:t>.</w:t>
      </w:r>
    </w:p>
    <w:sectPr w:rsidR="001E2F9F" w:rsidRPr="00BC74EB" w:rsidSect="00AF1E37">
      <w:headerReference w:type="default" r:id="rId8"/>
      <w:headerReference w:type="first" r:id="rId9"/>
      <w:footerReference w:type="first" r:id="rId10"/>
      <w:pgSz w:w="11906" w:h="16838" w:code="9"/>
      <w:pgMar w:top="2552" w:right="1247" w:bottom="1134" w:left="283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7E" w:rsidRDefault="00A77F38">
      <w:pPr>
        <w:spacing w:line="240" w:lineRule="auto"/>
      </w:pPr>
      <w:r>
        <w:separator/>
      </w:r>
    </w:p>
  </w:endnote>
  <w:endnote w:type="continuationSeparator" w:id="0">
    <w:p w:rsidR="008F347E" w:rsidRDefault="00A77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  <w:p w:rsidR="0033562F" w:rsidRPr="00EF77C5" w:rsidRDefault="000A2B8C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7E" w:rsidRDefault="00A77F38">
      <w:pPr>
        <w:spacing w:line="240" w:lineRule="auto"/>
      </w:pPr>
      <w:r>
        <w:separator/>
      </w:r>
    </w:p>
  </w:footnote>
  <w:footnote w:type="continuationSeparator" w:id="0">
    <w:p w:rsidR="008F347E" w:rsidRDefault="00A77F38">
      <w:pPr>
        <w:spacing w:line="240" w:lineRule="auto"/>
      </w:pPr>
      <w:r>
        <w:continuationSeparator/>
      </w:r>
    </w:p>
  </w:footnote>
  <w:footnote w:id="1">
    <w:p w:rsidR="000F7B5E" w:rsidRDefault="000F7B5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93000">
        <w:rPr>
          <w:iCs/>
        </w:rPr>
        <w:t>Tillfälligt undantag mot förbud om öppen eld får efter riskbedömning endast beslutas av ansvarig chef tillika brandskyddsansvarig.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135" w:tblpY="625"/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1192"/>
    </w:tblGrid>
    <w:tr w:rsidR="008711D4" w:rsidRPr="00EF77C5" w:rsidTr="00AF247D">
      <w:trPr>
        <w:cantSplit/>
        <w:trHeight w:val="255"/>
      </w:trPr>
      <w:tc>
        <w:tcPr>
          <w:tcW w:w="8334" w:type="dxa"/>
          <w:vAlign w:val="bottom"/>
        </w:tcPr>
        <w:p w:rsidR="008711D4" w:rsidRPr="00EF77C5" w:rsidRDefault="008D0199" w:rsidP="008711D4">
          <w:pPr>
            <w:pStyle w:val="Dokumenttyp"/>
            <w:rPr>
              <w:b/>
            </w:rPr>
          </w:pPr>
          <w:r w:rsidRPr="00EF77C5">
            <w:t>VÄSTERÅS STAD</w:t>
          </w:r>
        </w:p>
      </w:tc>
      <w:tc>
        <w:tcPr>
          <w:tcW w:w="1192" w:type="dxa"/>
        </w:tcPr>
        <w:p w:rsidR="008711D4" w:rsidRPr="00EF77C5" w:rsidRDefault="008D0199" w:rsidP="008711D4">
          <w:pPr>
            <w:pStyle w:val="Sidhuvud"/>
            <w:jc w:val="right"/>
            <w:rPr>
              <w:rFonts w:ascii="Calibri" w:hAnsi="Calibri"/>
              <w:sz w:val="20"/>
              <w:szCs w:val="20"/>
            </w:rPr>
          </w:pPr>
          <w:r w:rsidRPr="00EF77C5">
            <w:rPr>
              <w:rFonts w:ascii="Calibri" w:hAnsi="Calibri"/>
              <w:sz w:val="20"/>
              <w:szCs w:val="20"/>
            </w:rPr>
            <w:fldChar w:fldCharType="begin"/>
          </w:r>
          <w:r w:rsidRPr="00EF77C5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EF77C5">
            <w:rPr>
              <w:rFonts w:ascii="Calibri" w:hAnsi="Calibri"/>
              <w:sz w:val="20"/>
              <w:szCs w:val="20"/>
            </w:rPr>
            <w:fldChar w:fldCharType="separate"/>
          </w:r>
          <w:r w:rsidR="00A77F38">
            <w:rPr>
              <w:rFonts w:ascii="Calibri" w:hAnsi="Calibri"/>
              <w:noProof/>
              <w:sz w:val="20"/>
              <w:szCs w:val="20"/>
            </w:rPr>
            <w:t>9</w:t>
          </w:r>
          <w:r w:rsidRPr="00EF77C5">
            <w:rPr>
              <w:rFonts w:ascii="Calibri" w:hAnsi="Calibri"/>
              <w:sz w:val="20"/>
              <w:szCs w:val="20"/>
            </w:rPr>
            <w:fldChar w:fldCharType="end"/>
          </w:r>
          <w:r w:rsidRPr="00EF77C5">
            <w:rPr>
              <w:rFonts w:ascii="Calibri" w:hAnsi="Calibri"/>
              <w:sz w:val="20"/>
              <w:szCs w:val="20"/>
            </w:rPr>
            <w:t>/</w:t>
          </w:r>
          <w:r w:rsidRPr="00EF77C5">
            <w:rPr>
              <w:rFonts w:ascii="Calibri" w:hAnsi="Calibri"/>
              <w:sz w:val="20"/>
              <w:szCs w:val="20"/>
            </w:rPr>
            <w:fldChar w:fldCharType="begin"/>
          </w:r>
          <w:r w:rsidRPr="00EF77C5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EF77C5">
            <w:rPr>
              <w:rFonts w:ascii="Calibri" w:hAnsi="Calibri"/>
              <w:sz w:val="20"/>
              <w:szCs w:val="20"/>
            </w:rPr>
            <w:fldChar w:fldCharType="separate"/>
          </w:r>
          <w:r w:rsidR="00A77F38">
            <w:rPr>
              <w:rFonts w:ascii="Calibri" w:hAnsi="Calibri"/>
              <w:noProof/>
              <w:sz w:val="20"/>
              <w:szCs w:val="20"/>
            </w:rPr>
            <w:t>9</w:t>
          </w:r>
          <w:r w:rsidRPr="00EF77C5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3562F" w:rsidRPr="00EF77C5" w:rsidRDefault="000A2B8C" w:rsidP="0088212F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11" w:rsidRPr="00EF77C5" w:rsidRDefault="008D0199" w:rsidP="00184411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  <w:r>
      <w:rPr>
        <w:rFonts w:ascii="Calibri" w:hAnsi="Calibri" w:cs="Arial"/>
        <w:cap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C03F32" wp14:editId="6945263F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600075" cy="828675"/>
          <wp:effectExtent l="0" t="0" r="9525" b="9525"/>
          <wp:wrapNone/>
          <wp:docPr id="1" name="Bildobjekt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77C5">
      <w:rPr>
        <w:rFonts w:ascii="Calibri" w:hAnsi="Calibri" w:cs="Arial"/>
        <w:caps/>
        <w:sz w:val="20"/>
        <w:szCs w:val="20"/>
      </w:rPr>
      <w:tab/>
    </w:r>
    <w:r w:rsidRPr="00EF77C5">
      <w:rPr>
        <w:rFonts w:ascii="Calibri" w:hAnsi="Calibri"/>
        <w:caps/>
        <w:sz w:val="20"/>
        <w:szCs w:val="20"/>
      </w:rPr>
      <w:fldChar w:fldCharType="begin"/>
    </w:r>
    <w:r w:rsidRPr="00EF77C5">
      <w:rPr>
        <w:rFonts w:ascii="Calibri" w:hAnsi="Calibri"/>
        <w:caps/>
        <w:sz w:val="20"/>
        <w:szCs w:val="20"/>
      </w:rPr>
      <w:instrText>PAGE   \* MERGEFORMAT</w:instrText>
    </w:r>
    <w:r w:rsidRPr="00EF77C5">
      <w:rPr>
        <w:rFonts w:ascii="Calibri" w:hAnsi="Calibri"/>
        <w:caps/>
        <w:sz w:val="20"/>
        <w:szCs w:val="20"/>
      </w:rPr>
      <w:fldChar w:fldCharType="separate"/>
    </w:r>
    <w:r w:rsidR="00A77F38">
      <w:rPr>
        <w:rFonts w:ascii="Calibri" w:hAnsi="Calibri"/>
        <w:caps/>
        <w:noProof/>
        <w:sz w:val="20"/>
        <w:szCs w:val="20"/>
      </w:rPr>
      <w:t>1</w:t>
    </w:r>
    <w:r w:rsidRPr="00EF77C5">
      <w:rPr>
        <w:rFonts w:ascii="Calibri" w:hAnsi="Calibri"/>
        <w:caps/>
        <w:sz w:val="20"/>
        <w:szCs w:val="20"/>
      </w:rPr>
      <w:fldChar w:fldCharType="end"/>
    </w:r>
    <w:r w:rsidRPr="00EF77C5">
      <w:rPr>
        <w:rFonts w:ascii="Calibri" w:hAnsi="Calibri"/>
        <w:caps/>
        <w:sz w:val="20"/>
        <w:szCs w:val="20"/>
      </w:rPr>
      <w:t>/</w:t>
    </w:r>
    <w:r w:rsidRPr="00EF77C5">
      <w:rPr>
        <w:rFonts w:ascii="Calibri" w:hAnsi="Calibri"/>
        <w:caps/>
        <w:sz w:val="20"/>
        <w:szCs w:val="20"/>
      </w:rPr>
      <w:fldChar w:fldCharType="begin"/>
    </w:r>
    <w:r w:rsidRPr="00EF77C5">
      <w:rPr>
        <w:rFonts w:ascii="Calibri" w:hAnsi="Calibri"/>
        <w:caps/>
        <w:sz w:val="20"/>
        <w:szCs w:val="20"/>
      </w:rPr>
      <w:instrText xml:space="preserve"> NUMPAGES   \* MERGEFORMAT </w:instrText>
    </w:r>
    <w:r w:rsidRPr="00EF77C5">
      <w:rPr>
        <w:rFonts w:ascii="Calibri" w:hAnsi="Calibri"/>
        <w:caps/>
        <w:sz w:val="20"/>
        <w:szCs w:val="20"/>
      </w:rPr>
      <w:fldChar w:fldCharType="separate"/>
    </w:r>
    <w:r w:rsidR="00A77F38">
      <w:rPr>
        <w:rFonts w:ascii="Calibri" w:hAnsi="Calibri"/>
        <w:caps/>
        <w:noProof/>
        <w:sz w:val="20"/>
        <w:szCs w:val="20"/>
      </w:rPr>
      <w:t>9</w:t>
    </w:r>
    <w:r w:rsidRPr="00EF77C5">
      <w:rPr>
        <w:rFonts w:ascii="Calibri" w:hAnsi="Calibri"/>
        <w: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FEB"/>
    <w:multiLevelType w:val="hybridMultilevel"/>
    <w:tmpl w:val="AAB0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718B"/>
    <w:multiLevelType w:val="hybridMultilevel"/>
    <w:tmpl w:val="79FA0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1D44"/>
    <w:multiLevelType w:val="multilevel"/>
    <w:tmpl w:val="13D64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-Numrering"/>
      <w:lvlText w:val="%1.%2."/>
      <w:lvlJc w:val="left"/>
      <w:pPr>
        <w:ind w:left="726" w:hanging="584"/>
      </w:pPr>
      <w:rPr>
        <w:rFonts w:hint="default"/>
      </w:rPr>
    </w:lvl>
    <w:lvl w:ilvl="2">
      <w:start w:val="1"/>
      <w:numFmt w:val="decimal"/>
      <w:pStyle w:val="Rubrik3-Numrering"/>
      <w:lvlText w:val="%1.%2.%3.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pStyle w:val="Rubrik4-Numrering"/>
      <w:lvlText w:val="%1.%2.%3.%4.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F92108"/>
    <w:multiLevelType w:val="multilevel"/>
    <w:tmpl w:val="E3641DB6"/>
    <w:lvl w:ilvl="0">
      <w:start w:val="1"/>
      <w:numFmt w:val="decimal"/>
      <w:pStyle w:val="Rubrik1-Numr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744E61"/>
    <w:multiLevelType w:val="hybridMultilevel"/>
    <w:tmpl w:val="35C2C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960A5"/>
    <w:multiLevelType w:val="hybridMultilevel"/>
    <w:tmpl w:val="CD8AA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C35D3"/>
    <w:multiLevelType w:val="hybridMultilevel"/>
    <w:tmpl w:val="40D8F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B1002"/>
    <w:multiLevelType w:val="hybridMultilevel"/>
    <w:tmpl w:val="90D60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27B0E"/>
    <w:multiLevelType w:val="hybridMultilevel"/>
    <w:tmpl w:val="CBC6F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21B6D"/>
    <w:multiLevelType w:val="hybridMultilevel"/>
    <w:tmpl w:val="AB880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72662"/>
    <w:multiLevelType w:val="hybridMultilevel"/>
    <w:tmpl w:val="62B07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15F91"/>
    <w:multiLevelType w:val="hybridMultilevel"/>
    <w:tmpl w:val="2FAEB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37"/>
    <w:rsid w:val="000A2B8C"/>
    <w:rsid w:val="000F7B5E"/>
    <w:rsid w:val="001E2F9F"/>
    <w:rsid w:val="00293000"/>
    <w:rsid w:val="0040153A"/>
    <w:rsid w:val="00877F9A"/>
    <w:rsid w:val="008D0199"/>
    <w:rsid w:val="008F347E"/>
    <w:rsid w:val="00A77F38"/>
    <w:rsid w:val="00AF1E37"/>
    <w:rsid w:val="00B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7CF7"/>
  <w15:docId w15:val="{A306D37A-EF30-4013-A207-6FE69454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E37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Calibri" w:eastAsia="Times New Roman" w:hAnsi="Calibri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F1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F1E37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F1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F1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AF1E37"/>
    <w:rPr>
      <w:rFonts w:ascii="Calibri" w:eastAsia="Times New Roman" w:hAnsi="Calibri" w:cs="Times New Roman"/>
      <w:caps/>
      <w:sz w:val="25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AF1E37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AF1E37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semiHidden/>
    <w:rsid w:val="00AF1E37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AF1E37"/>
    <w:rPr>
      <w:rFonts w:ascii="Arial" w:eastAsia="Times New Roman" w:hAnsi="Arial" w:cs="Times New Roman"/>
      <w:sz w:val="16"/>
      <w:szCs w:val="24"/>
      <w:lang w:eastAsia="sv-SE"/>
    </w:rPr>
  </w:style>
  <w:style w:type="paragraph" w:customStyle="1" w:styleId="Dokumenttyp">
    <w:name w:val="Dokumenttyp"/>
    <w:basedOn w:val="Normal"/>
    <w:semiHidden/>
    <w:rsid w:val="00AF1E37"/>
    <w:rPr>
      <w:caps/>
      <w:szCs w:val="22"/>
    </w:rPr>
  </w:style>
  <w:style w:type="paragraph" w:styleId="Liststycke">
    <w:name w:val="List Paragraph"/>
    <w:basedOn w:val="Normal"/>
    <w:uiPriority w:val="1"/>
    <w:qFormat/>
    <w:rsid w:val="00AF1E37"/>
    <w:pPr>
      <w:ind w:left="720"/>
      <w:contextualSpacing/>
    </w:pPr>
  </w:style>
  <w:style w:type="paragraph" w:customStyle="1" w:styleId="Rubrik1-Numrering">
    <w:name w:val="Rubrik 1 - Numrering"/>
    <w:basedOn w:val="Rubrik1"/>
    <w:next w:val="Normal"/>
    <w:qFormat/>
    <w:rsid w:val="00AF1E37"/>
    <w:pPr>
      <w:keepLines w:val="0"/>
      <w:numPr>
        <w:numId w:val="1"/>
      </w:numPr>
      <w:tabs>
        <w:tab w:val="num" w:pos="360"/>
      </w:tabs>
      <w:spacing w:before="0" w:after="120" w:line="280" w:lineRule="atLeast"/>
      <w:ind w:left="0" w:firstLine="0"/>
    </w:pPr>
    <w:rPr>
      <w:rFonts w:ascii="Calibri" w:eastAsia="Times New Roman" w:hAnsi="Calibri" w:cs="Times New Roman"/>
      <w:b w:val="0"/>
      <w:bCs w:val="0"/>
      <w:color w:val="auto"/>
      <w:kern w:val="32"/>
      <w:sz w:val="36"/>
      <w:szCs w:val="24"/>
    </w:rPr>
  </w:style>
  <w:style w:type="paragraph" w:customStyle="1" w:styleId="Rubrik2-Numrering">
    <w:name w:val="Rubrik 2 - Numrering"/>
    <w:basedOn w:val="Rubrik2"/>
    <w:next w:val="Normal"/>
    <w:qFormat/>
    <w:rsid w:val="00AF1E37"/>
    <w:pPr>
      <w:numPr>
        <w:ilvl w:val="1"/>
        <w:numId w:val="2"/>
      </w:numPr>
    </w:pPr>
  </w:style>
  <w:style w:type="paragraph" w:customStyle="1" w:styleId="Rubrik3-Numrering">
    <w:name w:val="Rubrik 3 - Numrering"/>
    <w:basedOn w:val="Rubrik3"/>
    <w:next w:val="Normal"/>
    <w:qFormat/>
    <w:rsid w:val="00AF1E37"/>
    <w:pPr>
      <w:keepLines w:val="0"/>
      <w:numPr>
        <w:ilvl w:val="2"/>
        <w:numId w:val="2"/>
      </w:numPr>
      <w:tabs>
        <w:tab w:val="num" w:pos="360"/>
      </w:tabs>
      <w:spacing w:before="240" w:after="60" w:line="260" w:lineRule="exact"/>
      <w:ind w:left="0" w:firstLine="0"/>
    </w:pPr>
    <w:rPr>
      <w:rFonts w:ascii="Calibri" w:eastAsia="Times New Roman" w:hAnsi="Calibri" w:cs="Times New Roman"/>
      <w:bCs w:val="0"/>
      <w:color w:val="auto"/>
    </w:rPr>
  </w:style>
  <w:style w:type="paragraph" w:customStyle="1" w:styleId="Rubrik4-Numrering">
    <w:name w:val="Rubrik 4 - Numrering"/>
    <w:basedOn w:val="Rubrik4"/>
    <w:next w:val="Normal"/>
    <w:qFormat/>
    <w:rsid w:val="00AF1E37"/>
    <w:pPr>
      <w:keepLines w:val="0"/>
      <w:numPr>
        <w:ilvl w:val="3"/>
        <w:numId w:val="2"/>
      </w:numPr>
      <w:tabs>
        <w:tab w:val="num" w:pos="360"/>
      </w:tabs>
      <w:spacing w:before="0" w:after="60" w:line="270" w:lineRule="exact"/>
      <w:ind w:left="0" w:firstLine="0"/>
    </w:pPr>
    <w:rPr>
      <w:rFonts w:ascii="Calibri" w:eastAsia="Times New Roman" w:hAnsi="Calibri" w:cs="Times New Roman"/>
      <w:b w:val="0"/>
      <w:iCs w:val="0"/>
      <w:color w:val="auto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AF1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F1E37"/>
    <w:rPr>
      <w:rFonts w:asciiTheme="majorHAnsi" w:eastAsiaTheme="majorEastAsia" w:hAnsiTheme="majorHAnsi" w:cstheme="majorBidi"/>
      <w:b/>
      <w:bCs/>
      <w:color w:val="4F81BD" w:themeColor="accen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F1E3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BC74EB"/>
    <w:pPr>
      <w:widowControl w:val="0"/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autoSpaceDE w:val="0"/>
      <w:autoSpaceDN w:val="0"/>
      <w:spacing w:line="240" w:lineRule="auto"/>
    </w:pPr>
    <w:rPr>
      <w:rFonts w:ascii="Arial Narrow" w:eastAsia="Arial Narrow" w:hAnsi="Arial Narrow" w:cs="Arial Narrow"/>
      <w:szCs w:val="22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BC74EB"/>
    <w:rPr>
      <w:rFonts w:ascii="Arial Narrow" w:eastAsia="Arial Narrow" w:hAnsi="Arial Narrow" w:cs="Arial Narrow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7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4EB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7B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7B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7B5E"/>
    <w:rPr>
      <w:rFonts w:ascii="Calibri" w:eastAsia="Times New Roman" w:hAnsi="Calibri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7B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7B5E"/>
    <w:rPr>
      <w:rFonts w:ascii="Calibri" w:eastAsia="Times New Roman" w:hAnsi="Calibri" w:cs="Times New Roman"/>
      <w:b/>
      <w:bCs/>
      <w:sz w:val="20"/>
      <w:szCs w:val="20"/>
      <w:lang w:eastAsia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F7B5E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F7B5E"/>
    <w:rPr>
      <w:rFonts w:ascii="Calibri" w:eastAsia="Times New Roman" w:hAnsi="Calibri" w:cs="Times New Roman"/>
      <w:sz w:val="20"/>
      <w:szCs w:val="20"/>
      <w:lang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0F7B5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F7B5E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F7B5E"/>
    <w:rPr>
      <w:rFonts w:ascii="Calibri" w:eastAsia="Times New Roman" w:hAnsi="Calibri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0F7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B335-574F-469C-8904-F23F52BF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Wade</dc:creator>
  <cp:lastModifiedBy>Wade, Brandon</cp:lastModifiedBy>
  <cp:revision>7</cp:revision>
  <dcterms:created xsi:type="dcterms:W3CDTF">2019-01-11T07:00:00Z</dcterms:created>
  <dcterms:modified xsi:type="dcterms:W3CDTF">2021-05-19T09:51:00Z</dcterms:modified>
</cp:coreProperties>
</file>