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1135" w:tblpY="625"/>
        <w:tblW w:w="11525" w:type="dxa"/>
        <w:tblLayout w:type="fixed"/>
        <w:tblCellMar>
          <w:left w:w="0" w:type="dxa"/>
          <w:right w:w="0" w:type="dxa"/>
        </w:tblCellMar>
        <w:tblLook w:val="0000" w:firstRow="0" w:lastRow="0" w:firstColumn="0" w:lastColumn="0" w:noHBand="0" w:noVBand="0"/>
      </w:tblPr>
      <w:tblGrid>
        <w:gridCol w:w="6804"/>
        <w:gridCol w:w="3529"/>
        <w:gridCol w:w="1192"/>
      </w:tblGrid>
      <w:tr w:rsidR="009F5CF2" w:rsidRPr="009826E3" w:rsidTr="00213838">
        <w:trPr>
          <w:cantSplit/>
          <w:trHeight w:val="1412"/>
        </w:trPr>
        <w:tc>
          <w:tcPr>
            <w:tcW w:w="6804" w:type="dxa"/>
            <w:vAlign w:val="bottom"/>
          </w:tcPr>
          <w:p w:rsidR="009F5CF2" w:rsidRPr="009826E3" w:rsidRDefault="009F5CF2" w:rsidP="00FD3F34"/>
        </w:tc>
        <w:tc>
          <w:tcPr>
            <w:tcW w:w="3529" w:type="dxa"/>
          </w:tcPr>
          <w:p w:rsidR="009F5CF2" w:rsidRPr="00213838" w:rsidRDefault="00213838" w:rsidP="00213838">
            <w:pPr>
              <w:pStyle w:val="Dokumenttyp"/>
              <w:tabs>
                <w:tab w:val="clear" w:pos="0"/>
                <w:tab w:val="left" w:pos="1999"/>
              </w:tabs>
            </w:pPr>
            <w:r w:rsidRPr="00213838">
              <w:t>2019-01-</w:t>
            </w:r>
            <w:r w:rsidR="00135F21">
              <w:t>2</w:t>
            </w:r>
            <w:r w:rsidR="00C34DB1">
              <w:t>9</w:t>
            </w:r>
          </w:p>
          <w:p w:rsidR="00213838" w:rsidRPr="009826E3" w:rsidRDefault="00213838" w:rsidP="00135F21">
            <w:pPr>
              <w:pStyle w:val="Dokumenttyp"/>
              <w:tabs>
                <w:tab w:val="clear" w:pos="0"/>
                <w:tab w:val="left" w:pos="1999"/>
              </w:tabs>
              <w:rPr>
                <w:b/>
              </w:rPr>
            </w:pPr>
            <w:r w:rsidRPr="00213838">
              <w:t>Dnr: 201</w:t>
            </w:r>
            <w:r w:rsidR="00135F21">
              <w:t>9</w:t>
            </w:r>
            <w:r w:rsidRPr="00213838">
              <w:t>/0</w:t>
            </w:r>
            <w:r w:rsidR="00135F21">
              <w:t>0043</w:t>
            </w:r>
          </w:p>
        </w:tc>
        <w:tc>
          <w:tcPr>
            <w:tcW w:w="1192" w:type="dxa"/>
          </w:tcPr>
          <w:p w:rsidR="009F5CF2" w:rsidRPr="009826E3" w:rsidRDefault="009F5CF2" w:rsidP="00B96B55">
            <w:pPr>
              <w:pStyle w:val="Sidhuvud"/>
              <w:jc w:val="right"/>
              <w:rPr>
                <w:rFonts w:ascii="Calibri" w:hAnsi="Calibri"/>
                <w:sz w:val="20"/>
                <w:szCs w:val="20"/>
              </w:rPr>
            </w:pPr>
          </w:p>
        </w:tc>
      </w:tr>
      <w:tr w:rsidR="009F5CF2" w:rsidRPr="009826E3" w:rsidTr="00213838">
        <w:trPr>
          <w:cantSplit/>
        </w:trPr>
        <w:tc>
          <w:tcPr>
            <w:tcW w:w="6804" w:type="dxa"/>
          </w:tcPr>
          <w:p w:rsidR="00804BDF" w:rsidRPr="009826E3" w:rsidRDefault="00213838" w:rsidP="009F5CF2">
            <w:r>
              <w:t>Maria Lindblom Lundh</w:t>
            </w:r>
          </w:p>
          <w:p w:rsidR="009F5CF2" w:rsidRPr="009826E3" w:rsidRDefault="009826E3" w:rsidP="009826E3">
            <w:r w:rsidRPr="009826E3">
              <w:t>Stadsledningskontoret</w:t>
            </w:r>
          </w:p>
        </w:tc>
        <w:tc>
          <w:tcPr>
            <w:tcW w:w="4721" w:type="dxa"/>
            <w:gridSpan w:val="2"/>
          </w:tcPr>
          <w:p w:rsidR="009F5CF2" w:rsidRPr="009826E3" w:rsidRDefault="009F5CF2" w:rsidP="008457C7">
            <w:pPr>
              <w:pStyle w:val="Dokumenttyp"/>
              <w:spacing w:line="240" w:lineRule="exact"/>
              <w:rPr>
                <w:caps w:val="0"/>
                <w:sz w:val="20"/>
                <w:szCs w:val="20"/>
              </w:rPr>
            </w:pPr>
          </w:p>
        </w:tc>
      </w:tr>
    </w:tbl>
    <w:p w:rsidR="00184411" w:rsidRPr="009826E3" w:rsidRDefault="00184411" w:rsidP="008711D4">
      <w:pPr>
        <w:tabs>
          <w:tab w:val="clear" w:pos="0"/>
          <w:tab w:val="clear" w:pos="1304"/>
          <w:tab w:val="clear" w:pos="2608"/>
          <w:tab w:val="clear" w:pos="3912"/>
          <w:tab w:val="clear" w:pos="5216"/>
          <w:tab w:val="clear" w:pos="6521"/>
          <w:tab w:val="clear" w:pos="7825"/>
          <w:tab w:val="clear" w:pos="9129"/>
        </w:tabs>
        <w:spacing w:line="240" w:lineRule="auto"/>
      </w:pPr>
    </w:p>
    <w:p w:rsidR="00001C48" w:rsidRDefault="00001C48" w:rsidP="002F0542"/>
    <w:p w:rsidR="00213838" w:rsidRDefault="00213838" w:rsidP="002F0542">
      <w:pPr>
        <w:rPr>
          <w:sz w:val="80"/>
          <w:szCs w:val="80"/>
        </w:rPr>
      </w:pPr>
      <w:r>
        <w:rPr>
          <w:sz w:val="80"/>
          <w:szCs w:val="80"/>
        </w:rPr>
        <w:t>Bokslutskommuniké</w:t>
      </w:r>
    </w:p>
    <w:p w:rsidR="00213838" w:rsidRDefault="00213838" w:rsidP="002F0542">
      <w:pPr>
        <w:rPr>
          <w:sz w:val="80"/>
          <w:szCs w:val="80"/>
        </w:rPr>
      </w:pPr>
      <w:r>
        <w:rPr>
          <w:sz w:val="80"/>
          <w:szCs w:val="80"/>
        </w:rPr>
        <w:tab/>
      </w:r>
      <w:r>
        <w:rPr>
          <w:sz w:val="80"/>
          <w:szCs w:val="80"/>
        </w:rPr>
        <w:tab/>
        <w:t>2018</w:t>
      </w:r>
    </w:p>
    <w:p w:rsidR="002A6E86" w:rsidRDefault="002A6E86" w:rsidP="002F0542">
      <w:pPr>
        <w:rPr>
          <w:sz w:val="80"/>
          <w:szCs w:val="80"/>
        </w:rPr>
      </w:pPr>
    </w:p>
    <w:p w:rsidR="002A6E86" w:rsidRDefault="002A6E86" w:rsidP="002F0542">
      <w:pPr>
        <w:rPr>
          <w:sz w:val="80"/>
          <w:szCs w:val="80"/>
        </w:rPr>
      </w:pPr>
    </w:p>
    <w:p w:rsidR="002A6E86" w:rsidRDefault="002A6E86" w:rsidP="002F0542">
      <w:pPr>
        <w:rPr>
          <w:sz w:val="80"/>
          <w:szCs w:val="80"/>
        </w:rPr>
      </w:pPr>
    </w:p>
    <w:p w:rsidR="002A6E86" w:rsidRDefault="002A6E86" w:rsidP="002F0542">
      <w:pPr>
        <w:rPr>
          <w:sz w:val="80"/>
          <w:szCs w:val="80"/>
        </w:rPr>
      </w:pPr>
    </w:p>
    <w:p w:rsidR="002A6E86" w:rsidRDefault="002A6E86" w:rsidP="002F0542">
      <w:pPr>
        <w:rPr>
          <w:sz w:val="80"/>
          <w:szCs w:val="80"/>
        </w:rPr>
      </w:pPr>
    </w:p>
    <w:p w:rsidR="002A6E86" w:rsidRDefault="002A6E86" w:rsidP="002F0542">
      <w:pPr>
        <w:rPr>
          <w:sz w:val="80"/>
          <w:szCs w:val="80"/>
        </w:rPr>
      </w:pPr>
    </w:p>
    <w:p w:rsidR="002A6E86" w:rsidRDefault="002A6E86" w:rsidP="002F0542">
      <w:pPr>
        <w:rPr>
          <w:sz w:val="80"/>
          <w:szCs w:val="80"/>
        </w:rPr>
      </w:pPr>
    </w:p>
    <w:p w:rsidR="002A6E86" w:rsidRPr="002A6E86" w:rsidRDefault="002A6E86" w:rsidP="002F0542">
      <w:pPr>
        <w:rPr>
          <w:sz w:val="28"/>
          <w:szCs w:val="28"/>
        </w:rPr>
      </w:pPr>
      <w:r w:rsidRPr="002A6E86">
        <w:rPr>
          <w:sz w:val="28"/>
          <w:szCs w:val="28"/>
        </w:rPr>
        <w:t xml:space="preserve">Resultaten är preliminära och har </w:t>
      </w:r>
      <w:proofErr w:type="gramStart"/>
      <w:r w:rsidRPr="002A6E86">
        <w:rPr>
          <w:sz w:val="28"/>
          <w:szCs w:val="28"/>
        </w:rPr>
        <w:t>ej</w:t>
      </w:r>
      <w:proofErr w:type="gramEnd"/>
      <w:r w:rsidRPr="002A6E86">
        <w:rPr>
          <w:sz w:val="28"/>
          <w:szCs w:val="28"/>
        </w:rPr>
        <w:t xml:space="preserve"> styrelsebehandlats </w:t>
      </w:r>
    </w:p>
    <w:p w:rsidR="002A6E86" w:rsidRDefault="002A6E86" w:rsidP="002F0542">
      <w:pPr>
        <w:rPr>
          <w:sz w:val="80"/>
          <w:szCs w:val="80"/>
        </w:rPr>
      </w:pPr>
      <w:bookmarkStart w:id="0" w:name="_GoBack"/>
      <w:bookmarkEnd w:id="0"/>
    </w:p>
    <w:p w:rsidR="00213838" w:rsidRDefault="00213838">
      <w:pPr>
        <w:tabs>
          <w:tab w:val="clear" w:pos="0"/>
          <w:tab w:val="clear" w:pos="1304"/>
          <w:tab w:val="clear" w:pos="2608"/>
          <w:tab w:val="clear" w:pos="3912"/>
          <w:tab w:val="clear" w:pos="5216"/>
          <w:tab w:val="clear" w:pos="6521"/>
          <w:tab w:val="clear" w:pos="7825"/>
          <w:tab w:val="clear" w:pos="9129"/>
        </w:tabs>
        <w:spacing w:line="240" w:lineRule="auto"/>
        <w:rPr>
          <w:szCs w:val="22"/>
        </w:rPr>
      </w:pPr>
      <w:r>
        <w:rPr>
          <w:szCs w:val="22"/>
        </w:rPr>
        <w:br w:type="page"/>
      </w:r>
    </w:p>
    <w:p w:rsidR="00213838" w:rsidRDefault="00213838" w:rsidP="006F3138">
      <w:pPr>
        <w:pStyle w:val="Rubrik1"/>
      </w:pPr>
      <w:r>
        <w:lastRenderedPageBreak/>
        <w:t>Sammanfattning</w:t>
      </w:r>
    </w:p>
    <w:p w:rsidR="00677D69" w:rsidRDefault="00677D69" w:rsidP="00335E5F">
      <w:pPr>
        <w:spacing w:after="120" w:line="240" w:lineRule="auto"/>
      </w:pPr>
      <w:r>
        <w:t>Västerås stad</w:t>
      </w:r>
      <w:r w:rsidRPr="00D526C6">
        <w:t xml:space="preserve"> har bra förutsättningar för att </w:t>
      </w:r>
      <w:r>
        <w:t>uppnå</w:t>
      </w:r>
      <w:r w:rsidRPr="00D526C6">
        <w:t xml:space="preserve"> en god </w:t>
      </w:r>
      <w:r w:rsidRPr="0044143C">
        <w:t>ekonomisk hushållning</w:t>
      </w:r>
      <w:r>
        <w:t xml:space="preserve"> av resurserna</w:t>
      </w:r>
      <w:r w:rsidRPr="0044143C">
        <w:t xml:space="preserve">. </w:t>
      </w:r>
      <w:r>
        <w:t>E</w:t>
      </w:r>
      <w:r w:rsidRPr="0044143C">
        <w:t>konomi</w:t>
      </w:r>
      <w:r w:rsidR="00BC6FFC">
        <w:t>n</w:t>
      </w:r>
      <w:r w:rsidRPr="0044143C">
        <w:t xml:space="preserve"> </w:t>
      </w:r>
      <w:r>
        <w:t>är v</w:t>
      </w:r>
      <w:r w:rsidRPr="0044143C">
        <w:t xml:space="preserve">älskött </w:t>
      </w:r>
      <w:r>
        <w:t xml:space="preserve">och </w:t>
      </w:r>
      <w:r w:rsidRPr="0044143C">
        <w:t>skattesats</w:t>
      </w:r>
      <w:r>
        <w:t xml:space="preserve">en </w:t>
      </w:r>
      <w:r w:rsidR="00BC6FFC">
        <w:t>är</w:t>
      </w:r>
      <w:r>
        <w:t xml:space="preserve"> på en medelnivå bland Sveriges kommuner</w:t>
      </w:r>
      <w:r w:rsidRPr="0044143C">
        <w:t>. Bokslutsresultaten har varit goda</w:t>
      </w:r>
      <w:r>
        <w:t xml:space="preserve"> de senaste åren</w:t>
      </w:r>
      <w:r w:rsidRPr="0044143C">
        <w:t xml:space="preserve">, soliditeten god och investeringarna har finansierats med egna skattemedel. </w:t>
      </w:r>
      <w:r w:rsidR="00792D86">
        <w:t xml:space="preserve">Staden har </w:t>
      </w:r>
      <w:r w:rsidR="00792D86" w:rsidRPr="00C60356">
        <w:t>1,</w:t>
      </w:r>
      <w:r w:rsidR="00A20AAA" w:rsidRPr="00C60356">
        <w:t>6</w:t>
      </w:r>
      <w:r w:rsidR="00792D86">
        <w:t xml:space="preserve"> mdr i </w:t>
      </w:r>
      <w:r w:rsidR="00C60356">
        <w:t>nettotillgångar</w:t>
      </w:r>
      <w:r w:rsidR="00135F21">
        <w:t xml:space="preserve">. </w:t>
      </w:r>
      <w:r w:rsidR="006B3753">
        <w:t>Även</w:t>
      </w:r>
      <w:r w:rsidR="00135F21">
        <w:t xml:space="preserve"> i</w:t>
      </w:r>
      <w:r w:rsidR="00792D86">
        <w:t xml:space="preserve"> </w:t>
      </w:r>
      <w:r w:rsidR="0036004B">
        <w:t xml:space="preserve">årets </w:t>
      </w:r>
      <w:r w:rsidR="00792D86">
        <w:t xml:space="preserve">resultat finns stora positiva engångsposter i form av realisationsvinster och exploateringsintäkter. Räknas dessa bort är resultatet </w:t>
      </w:r>
      <w:r w:rsidR="006B3753">
        <w:t>lägre än</w:t>
      </w:r>
      <w:r w:rsidR="00792D86">
        <w:t xml:space="preserve"> kommunfullmäktiges mål på 2,5 % av skatteintäkter och statsbidrag.   </w:t>
      </w:r>
    </w:p>
    <w:p w:rsidR="00792D86" w:rsidRDefault="00792D86" w:rsidP="00677D69"/>
    <w:p w:rsidR="00246DF7" w:rsidRDefault="00A70C59" w:rsidP="00194B9C">
      <w:pPr>
        <w:tabs>
          <w:tab w:val="clear" w:pos="0"/>
          <w:tab w:val="left" w:pos="284"/>
        </w:tabs>
        <w:rPr>
          <w:noProof/>
        </w:rPr>
      </w:pPr>
      <w:r>
        <w:t>RESULTATUTVECKLING DE SENASTE ÅREN</w:t>
      </w:r>
    </w:p>
    <w:p w:rsidR="00BC6FFC" w:rsidRDefault="00BC6FFC" w:rsidP="00194B9C">
      <w:pPr>
        <w:tabs>
          <w:tab w:val="clear" w:pos="0"/>
          <w:tab w:val="left" w:pos="284"/>
        </w:tabs>
        <w:rPr>
          <w:noProof/>
        </w:rPr>
      </w:pPr>
      <w:r>
        <w:rPr>
          <w:noProof/>
        </w:rPr>
        <w:drawing>
          <wp:inline distT="0" distB="0" distL="0" distR="0" wp14:anchorId="247E87C9">
            <wp:extent cx="4893973" cy="4312920"/>
            <wp:effectExtent l="0" t="0" r="190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900" cy="4314618"/>
                    </a:xfrm>
                    <a:prstGeom prst="rect">
                      <a:avLst/>
                    </a:prstGeom>
                    <a:noFill/>
                  </pic:spPr>
                </pic:pic>
              </a:graphicData>
            </a:graphic>
          </wp:inline>
        </w:drawing>
      </w:r>
    </w:p>
    <w:p w:rsidR="00A46CE9" w:rsidRPr="00A46CE9" w:rsidRDefault="00213838" w:rsidP="006F3138">
      <w:pPr>
        <w:pStyle w:val="Rubrik1"/>
      </w:pPr>
      <w:r>
        <w:t>Årets resultat</w:t>
      </w:r>
    </w:p>
    <w:p w:rsidR="0089512B" w:rsidRDefault="0089512B" w:rsidP="00C3606D">
      <w:pPr>
        <w:spacing w:after="120" w:line="240" w:lineRule="auto"/>
      </w:pPr>
      <w:r>
        <w:t>Å</w:t>
      </w:r>
      <w:r w:rsidRPr="00A87FCA">
        <w:t xml:space="preserve">rets </w:t>
      </w:r>
      <w:r w:rsidR="00D471A2">
        <w:t xml:space="preserve">resultat är ett överskott om </w:t>
      </w:r>
      <w:r w:rsidR="00851600">
        <w:t>344,1</w:t>
      </w:r>
      <w:r>
        <w:t xml:space="preserve"> mnkr för Västerås stad</w:t>
      </w:r>
      <w:r w:rsidR="00D471A2">
        <w:t xml:space="preserve">. </w:t>
      </w:r>
      <w:r w:rsidR="00E24B71">
        <w:t>I re</w:t>
      </w:r>
      <w:r w:rsidR="00D471A2">
        <w:t>sultatet</w:t>
      </w:r>
      <w:r w:rsidRPr="00A87FCA">
        <w:t xml:space="preserve"> ingår reavinster med </w:t>
      </w:r>
      <w:r w:rsidR="00C3606D">
        <w:t>200,1</w:t>
      </w:r>
      <w:r>
        <w:t xml:space="preserve"> mnkr (tomträtter o fastigheter </w:t>
      </w:r>
      <w:r w:rsidR="00C3606D">
        <w:t>186,6</w:t>
      </w:r>
      <w:r>
        <w:t xml:space="preserve"> mnkr och </w:t>
      </w:r>
      <w:r w:rsidR="00E24B71">
        <w:t>kapitalvinster</w:t>
      </w:r>
      <w:r>
        <w:t xml:space="preserve"> </w:t>
      </w:r>
      <w:r w:rsidR="00C3606D">
        <w:t>13,5</w:t>
      </w:r>
      <w:r>
        <w:t xml:space="preserve"> mnkr), </w:t>
      </w:r>
      <w:r w:rsidR="00E24B71">
        <w:t>överskott</w:t>
      </w:r>
      <w:r w:rsidR="0036004B">
        <w:t xml:space="preserve"> från exploateringsverksamheten 116,2 mnkr samt en avsättning till miljöskulder i hamnen 84,8 mnkr. </w:t>
      </w:r>
    </w:p>
    <w:p w:rsidR="007B6CD6" w:rsidRDefault="007B6CD6" w:rsidP="00C3606D">
      <w:pPr>
        <w:spacing w:after="120" w:line="240" w:lineRule="auto"/>
      </w:pPr>
      <w:r>
        <w:t>R</w:t>
      </w:r>
      <w:r w:rsidR="0089512B" w:rsidRPr="00DF5CE6">
        <w:t>esulta</w:t>
      </w:r>
      <w:r w:rsidR="00BC6FFC">
        <w:t>te</w:t>
      </w:r>
      <w:r w:rsidR="0089512B" w:rsidRPr="00DF5CE6">
        <w:t xml:space="preserve">t </w:t>
      </w:r>
      <w:r w:rsidR="0089512B">
        <w:t>exklusive reavinster</w:t>
      </w:r>
      <w:r w:rsidR="00E032E2">
        <w:t>, exploatering och avsättning till miljöskuld</w:t>
      </w:r>
      <w:r w:rsidR="00C3606D">
        <w:t xml:space="preserve"> och andra jämförelsestörande poster</w:t>
      </w:r>
      <w:r w:rsidR="0089512B">
        <w:t xml:space="preserve"> </w:t>
      </w:r>
      <w:r w:rsidR="0089512B" w:rsidRPr="00DF5CE6">
        <w:t xml:space="preserve">är </w:t>
      </w:r>
      <w:r w:rsidR="009811A6">
        <w:t>8</w:t>
      </w:r>
      <w:r w:rsidR="00352907">
        <w:t>2</w:t>
      </w:r>
      <w:r w:rsidR="0089512B" w:rsidRPr="00DF5CE6">
        <w:t xml:space="preserve"> mnkr</w:t>
      </w:r>
      <w:r>
        <w:t xml:space="preserve"> (1 % av skatteintäkterna). Budgeterat resultat uppgår till 150 mnkr (1,9 % av skatteintäkterna). En bidragande orsak till budgetavvikelsen är underskottet inom individ- och familjenämnden på 96 mnkr. </w:t>
      </w:r>
    </w:p>
    <w:p w:rsidR="0089512B" w:rsidRDefault="0089512B" w:rsidP="00C3606D">
      <w:pPr>
        <w:spacing w:after="120" w:line="240" w:lineRule="auto"/>
      </w:pPr>
      <w:r>
        <w:lastRenderedPageBreak/>
        <w:t xml:space="preserve">Västerås stad har ett </w:t>
      </w:r>
      <w:r w:rsidR="007B6CD6">
        <w:t xml:space="preserve">långsiktigt </w:t>
      </w:r>
      <w:r>
        <w:t xml:space="preserve">finansiellt mål att resultatet ska vara 2,5 procent av skatteintäkter och generella bidrag. </w:t>
      </w:r>
    </w:p>
    <w:p w:rsidR="00543477" w:rsidRDefault="00543477" w:rsidP="00543477">
      <w:pPr>
        <w:pStyle w:val="Rubrik2"/>
      </w:pPr>
      <w:r>
        <w:t>Resultatanalys</w:t>
      </w:r>
    </w:p>
    <w:p w:rsidR="00543477" w:rsidRDefault="00543477" w:rsidP="00543477">
      <w:pPr>
        <w:spacing w:after="120" w:line="240" w:lineRule="auto"/>
      </w:pPr>
      <w:r>
        <w:t>Den</w:t>
      </w:r>
      <w:r w:rsidRPr="00AD7FFA">
        <w:t xml:space="preserve"> ekonomiska</w:t>
      </w:r>
      <w:r>
        <w:t xml:space="preserve"> prognosen</w:t>
      </w:r>
      <w:r w:rsidRPr="00AD7FFA">
        <w:t xml:space="preserve"> för Västerås stad har </w:t>
      </w:r>
      <w:r w:rsidRPr="00696A61">
        <w:t>förbättrats</w:t>
      </w:r>
      <w:r>
        <w:t xml:space="preserve"> under </w:t>
      </w:r>
      <w:r w:rsidR="00496965">
        <w:t>andra halv</w:t>
      </w:r>
      <w:r>
        <w:t xml:space="preserve">året, vilket främst beror på realisationsvinster och exploateringsvinster. </w:t>
      </w:r>
      <w:r w:rsidR="00496965">
        <w:t>I</w:t>
      </w:r>
      <w:r w:rsidRPr="002372D1">
        <w:t xml:space="preserve"> bokslutet har en avsätt</w:t>
      </w:r>
      <w:r w:rsidR="00496965">
        <w:t xml:space="preserve">ning till miljöskulder för hamnen </w:t>
      </w:r>
      <w:r>
        <w:t>tillkommi</w:t>
      </w:r>
      <w:r w:rsidRPr="002372D1">
        <w:t xml:space="preserve">t med </w:t>
      </w:r>
      <w:r>
        <w:t>ytterligare 64,4</w:t>
      </w:r>
      <w:r w:rsidRPr="002372D1">
        <w:t xml:space="preserve"> mnkr </w:t>
      </w:r>
      <w:r w:rsidR="00496965">
        <w:t>(totalt 84,8 mnkr)</w:t>
      </w:r>
      <w:r w:rsidRPr="002372D1">
        <w:t>.</w:t>
      </w:r>
      <w:r>
        <w:t xml:space="preserve"> Jämfört med prognosen i delår 2 har skatteintäktsprognosen försämrats med -16,1 mnkr och nämndernas resultat har </w:t>
      </w:r>
      <w:r w:rsidRPr="0099418B">
        <w:t>förbättrats</w:t>
      </w:r>
      <w:r>
        <w:t xml:space="preserve"> med 62,8 mnkr</w:t>
      </w:r>
      <w:r w:rsidR="00496965">
        <w:t xml:space="preserve"> där äldrenämnden står för hälften</w:t>
      </w:r>
      <w:r>
        <w:t>.</w:t>
      </w:r>
    </w:p>
    <w:p w:rsidR="00543477" w:rsidRDefault="00543477" w:rsidP="00543477">
      <w:r w:rsidRPr="009811A6">
        <w:t>BALANSKRAVSUTREDNING</w:t>
      </w:r>
    </w:p>
    <w:p w:rsidR="00543477" w:rsidRPr="00036C9A" w:rsidRDefault="00543477" w:rsidP="00543477">
      <w:pPr>
        <w:spacing w:after="120" w:line="240" w:lineRule="auto"/>
      </w:pPr>
      <w:r>
        <w:t xml:space="preserve">För att stämma av resultatet mot statens balanskrav räknas realisationsvinster och de öronmärkningar av eget kapital som gjorts för byggbonus och social resursfond bort. </w:t>
      </w:r>
      <w:r w:rsidRPr="00210394">
        <w:t xml:space="preserve">Staden </w:t>
      </w:r>
      <w:r w:rsidRPr="00E032E2">
        <w:t>uppnår</w:t>
      </w:r>
      <w:r w:rsidRPr="00210394">
        <w:t xml:space="preserve"> balanskravet för 201</w:t>
      </w:r>
      <w:r>
        <w:t>8</w:t>
      </w:r>
      <w:r w:rsidRPr="00210394">
        <w:t>.</w:t>
      </w:r>
    </w:p>
    <w:tbl>
      <w:tblPr>
        <w:tblW w:w="5600" w:type="dxa"/>
        <w:tblInd w:w="70" w:type="dxa"/>
        <w:tblCellMar>
          <w:left w:w="70" w:type="dxa"/>
          <w:right w:w="70" w:type="dxa"/>
        </w:tblCellMar>
        <w:tblLook w:val="04A0" w:firstRow="1" w:lastRow="0" w:firstColumn="1" w:lastColumn="0" w:noHBand="0" w:noVBand="1"/>
      </w:tblPr>
      <w:tblGrid>
        <w:gridCol w:w="3640"/>
        <w:gridCol w:w="778"/>
        <w:gridCol w:w="190"/>
        <w:gridCol w:w="802"/>
        <w:gridCol w:w="190"/>
      </w:tblGrid>
      <w:tr w:rsidR="00BC6FFC" w:rsidRPr="00BC6FFC" w:rsidTr="00BC6FFC">
        <w:trPr>
          <w:trHeight w:val="576"/>
        </w:trPr>
        <w:tc>
          <w:tcPr>
            <w:tcW w:w="380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u w:val="single"/>
              </w:rPr>
            </w:pPr>
            <w:r w:rsidRPr="00BC6FFC">
              <w:rPr>
                <w:color w:val="000000"/>
                <w:szCs w:val="22"/>
                <w:u w:val="single"/>
              </w:rPr>
              <w:t>Mnkr</w:t>
            </w:r>
          </w:p>
        </w:tc>
        <w:tc>
          <w:tcPr>
            <w:tcW w:w="72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u w:val="single"/>
              </w:rPr>
            </w:pPr>
            <w:r w:rsidRPr="00BC6FFC">
              <w:rPr>
                <w:color w:val="000000"/>
                <w:szCs w:val="22"/>
                <w:u w:val="single"/>
              </w:rPr>
              <w:t>Budget 2018</w:t>
            </w:r>
          </w:p>
        </w:tc>
        <w:tc>
          <w:tcPr>
            <w:tcW w:w="14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u w:val="single"/>
              </w:rPr>
            </w:pPr>
          </w:p>
        </w:tc>
        <w:tc>
          <w:tcPr>
            <w:tcW w:w="800" w:type="dxa"/>
            <w:tcBorders>
              <w:top w:val="single" w:sz="4" w:space="0" w:color="auto"/>
              <w:left w:val="single" w:sz="4" w:space="0" w:color="auto"/>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u w:val="single"/>
              </w:rPr>
            </w:pPr>
            <w:r w:rsidRPr="00BC6FFC">
              <w:rPr>
                <w:color w:val="000000"/>
                <w:szCs w:val="22"/>
                <w:u w:val="single"/>
              </w:rPr>
              <w:t>Bokslut 2018</w:t>
            </w:r>
          </w:p>
        </w:tc>
        <w:tc>
          <w:tcPr>
            <w:tcW w:w="140" w:type="dxa"/>
            <w:tcBorders>
              <w:top w:val="single" w:sz="4" w:space="0" w:color="auto"/>
              <w:left w:val="nil"/>
              <w:bottom w:val="nil"/>
              <w:right w:val="single" w:sz="4" w:space="0" w:color="auto"/>
            </w:tcBorders>
            <w:shd w:val="clear" w:color="auto" w:fill="auto"/>
            <w:vAlign w:val="center"/>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u w:val="single"/>
              </w:rPr>
            </w:pPr>
          </w:p>
        </w:tc>
      </w:tr>
      <w:tr w:rsidR="00BC6FFC" w:rsidRPr="00BC6FFC" w:rsidTr="00BC6FFC">
        <w:trPr>
          <w:trHeight w:val="288"/>
        </w:trPr>
        <w:tc>
          <w:tcPr>
            <w:tcW w:w="380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BC6FFC">
              <w:rPr>
                <w:color w:val="000000"/>
                <w:szCs w:val="22"/>
              </w:rPr>
              <w:t>Skatteintäkter och bidrag</w:t>
            </w:r>
          </w:p>
        </w:tc>
        <w:tc>
          <w:tcPr>
            <w:tcW w:w="72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BC6FFC">
              <w:rPr>
                <w:color w:val="000000"/>
                <w:szCs w:val="22"/>
              </w:rPr>
              <w:t>8 059</w:t>
            </w:r>
          </w:p>
        </w:tc>
        <w:tc>
          <w:tcPr>
            <w:tcW w:w="14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p>
        </w:tc>
        <w:tc>
          <w:tcPr>
            <w:tcW w:w="800" w:type="dxa"/>
            <w:tcBorders>
              <w:top w:val="nil"/>
              <w:left w:val="single" w:sz="4" w:space="0" w:color="auto"/>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BC6FFC">
              <w:rPr>
                <w:color w:val="000000"/>
                <w:szCs w:val="22"/>
              </w:rPr>
              <w:t>8 070</w:t>
            </w:r>
          </w:p>
        </w:tc>
        <w:tc>
          <w:tcPr>
            <w:tcW w:w="140" w:type="dxa"/>
            <w:tcBorders>
              <w:top w:val="nil"/>
              <w:left w:val="nil"/>
              <w:bottom w:val="nil"/>
              <w:right w:val="single" w:sz="4" w:space="0" w:color="auto"/>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BC6FFC">
              <w:rPr>
                <w:color w:val="000000"/>
                <w:szCs w:val="22"/>
              </w:rPr>
              <w:t> </w:t>
            </w:r>
          </w:p>
        </w:tc>
      </w:tr>
      <w:tr w:rsidR="00BC6FFC" w:rsidRPr="00BC6FFC" w:rsidTr="00BC6FFC">
        <w:trPr>
          <w:trHeight w:val="288"/>
        </w:trPr>
        <w:tc>
          <w:tcPr>
            <w:tcW w:w="380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BC6FFC">
              <w:rPr>
                <w:color w:val="000000"/>
                <w:szCs w:val="22"/>
              </w:rPr>
              <w:t>Finansnetto</w:t>
            </w:r>
          </w:p>
        </w:tc>
        <w:tc>
          <w:tcPr>
            <w:tcW w:w="72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BC6FFC">
              <w:rPr>
                <w:color w:val="000000"/>
                <w:szCs w:val="22"/>
              </w:rPr>
              <w:t>48</w:t>
            </w:r>
          </w:p>
        </w:tc>
        <w:tc>
          <w:tcPr>
            <w:tcW w:w="14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p>
        </w:tc>
        <w:tc>
          <w:tcPr>
            <w:tcW w:w="800" w:type="dxa"/>
            <w:tcBorders>
              <w:top w:val="nil"/>
              <w:left w:val="single" w:sz="4" w:space="0" w:color="auto"/>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BC6FFC">
              <w:rPr>
                <w:color w:val="000000"/>
                <w:szCs w:val="22"/>
              </w:rPr>
              <w:t>60</w:t>
            </w:r>
          </w:p>
        </w:tc>
        <w:tc>
          <w:tcPr>
            <w:tcW w:w="140" w:type="dxa"/>
            <w:tcBorders>
              <w:top w:val="nil"/>
              <w:left w:val="nil"/>
              <w:bottom w:val="nil"/>
              <w:right w:val="single" w:sz="4" w:space="0" w:color="auto"/>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BC6FFC">
              <w:rPr>
                <w:color w:val="000000"/>
                <w:szCs w:val="22"/>
              </w:rPr>
              <w:t> </w:t>
            </w:r>
          </w:p>
        </w:tc>
      </w:tr>
      <w:tr w:rsidR="00BC6FFC" w:rsidRPr="00BC6FFC" w:rsidTr="00BC6FFC">
        <w:trPr>
          <w:trHeight w:val="288"/>
        </w:trPr>
        <w:tc>
          <w:tcPr>
            <w:tcW w:w="380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BC6FFC">
              <w:rPr>
                <w:color w:val="000000"/>
                <w:szCs w:val="22"/>
              </w:rPr>
              <w:t>Verksamhetens nettokostnad</w:t>
            </w:r>
          </w:p>
        </w:tc>
        <w:tc>
          <w:tcPr>
            <w:tcW w:w="72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proofErr w:type="gramStart"/>
            <w:r w:rsidRPr="00BC6FFC">
              <w:rPr>
                <w:color w:val="000000"/>
                <w:szCs w:val="22"/>
              </w:rPr>
              <w:t>-</w:t>
            </w:r>
            <w:proofErr w:type="gramEnd"/>
            <w:r w:rsidRPr="00BC6FFC">
              <w:rPr>
                <w:color w:val="000000"/>
                <w:szCs w:val="22"/>
              </w:rPr>
              <w:t>7 957</w:t>
            </w:r>
          </w:p>
        </w:tc>
        <w:tc>
          <w:tcPr>
            <w:tcW w:w="14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p>
        </w:tc>
        <w:tc>
          <w:tcPr>
            <w:tcW w:w="800" w:type="dxa"/>
            <w:tcBorders>
              <w:top w:val="nil"/>
              <w:left w:val="single" w:sz="4" w:space="0" w:color="auto"/>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proofErr w:type="gramStart"/>
            <w:r w:rsidRPr="00BC6FFC">
              <w:rPr>
                <w:color w:val="000000"/>
                <w:szCs w:val="22"/>
              </w:rPr>
              <w:t>-</w:t>
            </w:r>
            <w:proofErr w:type="gramEnd"/>
            <w:r w:rsidRPr="00BC6FFC">
              <w:rPr>
                <w:color w:val="000000"/>
                <w:szCs w:val="22"/>
              </w:rPr>
              <w:t>7 786</w:t>
            </w:r>
          </w:p>
        </w:tc>
        <w:tc>
          <w:tcPr>
            <w:tcW w:w="140" w:type="dxa"/>
            <w:tcBorders>
              <w:top w:val="nil"/>
              <w:left w:val="nil"/>
              <w:bottom w:val="nil"/>
              <w:right w:val="single" w:sz="4" w:space="0" w:color="auto"/>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BC6FFC">
              <w:rPr>
                <w:color w:val="000000"/>
                <w:szCs w:val="22"/>
              </w:rPr>
              <w:t> </w:t>
            </w:r>
          </w:p>
        </w:tc>
      </w:tr>
      <w:tr w:rsidR="00BC6FFC" w:rsidRPr="00BC6FFC" w:rsidTr="00BC6FFC">
        <w:trPr>
          <w:trHeight w:val="288"/>
        </w:trPr>
        <w:tc>
          <w:tcPr>
            <w:tcW w:w="380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BC6FFC">
              <w:rPr>
                <w:b/>
                <w:bCs/>
                <w:color w:val="000000"/>
                <w:szCs w:val="22"/>
              </w:rPr>
              <w:t>Årets resultat enligt resultaträkningen</w:t>
            </w:r>
          </w:p>
        </w:tc>
        <w:tc>
          <w:tcPr>
            <w:tcW w:w="72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BC6FFC">
              <w:rPr>
                <w:b/>
                <w:bCs/>
                <w:color w:val="000000"/>
                <w:szCs w:val="22"/>
              </w:rPr>
              <w:t>150</w:t>
            </w:r>
          </w:p>
        </w:tc>
        <w:tc>
          <w:tcPr>
            <w:tcW w:w="14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p>
        </w:tc>
        <w:tc>
          <w:tcPr>
            <w:tcW w:w="800" w:type="dxa"/>
            <w:tcBorders>
              <w:top w:val="nil"/>
              <w:left w:val="single" w:sz="4" w:space="0" w:color="auto"/>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BC6FFC">
              <w:rPr>
                <w:b/>
                <w:bCs/>
                <w:color w:val="000000"/>
                <w:szCs w:val="22"/>
              </w:rPr>
              <w:t>344</w:t>
            </w:r>
          </w:p>
        </w:tc>
        <w:tc>
          <w:tcPr>
            <w:tcW w:w="140" w:type="dxa"/>
            <w:tcBorders>
              <w:top w:val="nil"/>
              <w:left w:val="nil"/>
              <w:bottom w:val="nil"/>
              <w:right w:val="single" w:sz="4" w:space="0" w:color="auto"/>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BC6FFC">
              <w:rPr>
                <w:b/>
                <w:bCs/>
                <w:color w:val="000000"/>
                <w:szCs w:val="22"/>
              </w:rPr>
              <w:t> </w:t>
            </w:r>
          </w:p>
        </w:tc>
      </w:tr>
      <w:tr w:rsidR="00BC6FFC" w:rsidRPr="00BC6FFC" w:rsidTr="00BC6FFC">
        <w:trPr>
          <w:trHeight w:val="288"/>
        </w:trPr>
        <w:tc>
          <w:tcPr>
            <w:tcW w:w="380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BC6FFC">
              <w:rPr>
                <w:color w:val="000000"/>
                <w:szCs w:val="22"/>
              </w:rPr>
              <w:t>Realisationsvinster</w:t>
            </w:r>
          </w:p>
        </w:tc>
        <w:tc>
          <w:tcPr>
            <w:tcW w:w="72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p>
        </w:tc>
        <w:tc>
          <w:tcPr>
            <w:tcW w:w="14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p>
        </w:tc>
        <w:tc>
          <w:tcPr>
            <w:tcW w:w="800" w:type="dxa"/>
            <w:tcBorders>
              <w:top w:val="nil"/>
              <w:left w:val="single" w:sz="4" w:space="0" w:color="auto"/>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proofErr w:type="gramStart"/>
            <w:r w:rsidRPr="00BC6FFC">
              <w:rPr>
                <w:color w:val="000000"/>
                <w:szCs w:val="22"/>
              </w:rPr>
              <w:t>-</w:t>
            </w:r>
            <w:proofErr w:type="gramEnd"/>
            <w:r w:rsidRPr="00BC6FFC">
              <w:rPr>
                <w:color w:val="000000"/>
                <w:szCs w:val="22"/>
              </w:rPr>
              <w:t>200</w:t>
            </w:r>
          </w:p>
        </w:tc>
        <w:tc>
          <w:tcPr>
            <w:tcW w:w="140" w:type="dxa"/>
            <w:tcBorders>
              <w:top w:val="nil"/>
              <w:left w:val="nil"/>
              <w:bottom w:val="nil"/>
              <w:right w:val="single" w:sz="4" w:space="0" w:color="auto"/>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BC6FFC">
              <w:rPr>
                <w:color w:val="000000"/>
                <w:szCs w:val="22"/>
              </w:rPr>
              <w:t> </w:t>
            </w:r>
          </w:p>
        </w:tc>
      </w:tr>
      <w:tr w:rsidR="00BC6FFC" w:rsidRPr="00BC6FFC" w:rsidTr="00BC6FFC">
        <w:trPr>
          <w:trHeight w:val="288"/>
        </w:trPr>
        <w:tc>
          <w:tcPr>
            <w:tcW w:w="380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BC6FFC">
              <w:rPr>
                <w:b/>
                <w:bCs/>
                <w:color w:val="000000"/>
                <w:szCs w:val="22"/>
              </w:rPr>
              <w:t>Resultat efter balanskravsjusteringar</w:t>
            </w:r>
          </w:p>
        </w:tc>
        <w:tc>
          <w:tcPr>
            <w:tcW w:w="720" w:type="dxa"/>
            <w:tcBorders>
              <w:top w:val="nil"/>
              <w:left w:val="nil"/>
              <w:bottom w:val="nil"/>
              <w:right w:val="nil"/>
            </w:tcBorders>
            <w:shd w:val="clear" w:color="auto" w:fill="auto"/>
            <w:noWrap/>
            <w:vAlign w:val="bottom"/>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p>
        </w:tc>
        <w:tc>
          <w:tcPr>
            <w:tcW w:w="140" w:type="dxa"/>
            <w:tcBorders>
              <w:top w:val="nil"/>
              <w:left w:val="nil"/>
              <w:bottom w:val="nil"/>
              <w:right w:val="nil"/>
            </w:tcBorders>
            <w:shd w:val="clear" w:color="auto" w:fill="auto"/>
            <w:noWrap/>
            <w:vAlign w:val="bottom"/>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p>
        </w:tc>
        <w:tc>
          <w:tcPr>
            <w:tcW w:w="800" w:type="dxa"/>
            <w:tcBorders>
              <w:top w:val="nil"/>
              <w:left w:val="single" w:sz="4" w:space="0" w:color="auto"/>
              <w:bottom w:val="nil"/>
              <w:right w:val="nil"/>
            </w:tcBorders>
            <w:shd w:val="clear" w:color="auto" w:fill="auto"/>
            <w:noWrap/>
            <w:vAlign w:val="bottom"/>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BC6FFC">
              <w:rPr>
                <w:b/>
                <w:bCs/>
                <w:color w:val="000000"/>
                <w:szCs w:val="22"/>
              </w:rPr>
              <w:t>144</w:t>
            </w:r>
          </w:p>
        </w:tc>
        <w:tc>
          <w:tcPr>
            <w:tcW w:w="140" w:type="dxa"/>
            <w:tcBorders>
              <w:top w:val="nil"/>
              <w:left w:val="nil"/>
              <w:bottom w:val="nil"/>
              <w:right w:val="single" w:sz="4" w:space="0" w:color="auto"/>
            </w:tcBorders>
            <w:shd w:val="clear" w:color="auto" w:fill="auto"/>
            <w:noWrap/>
            <w:vAlign w:val="bottom"/>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BC6FFC">
              <w:rPr>
                <w:b/>
                <w:bCs/>
                <w:color w:val="000000"/>
                <w:szCs w:val="22"/>
              </w:rPr>
              <w:t> </w:t>
            </w:r>
          </w:p>
        </w:tc>
      </w:tr>
      <w:tr w:rsidR="00BC6FFC" w:rsidRPr="00BC6FFC" w:rsidTr="00BC6FFC">
        <w:trPr>
          <w:trHeight w:val="300"/>
        </w:trPr>
        <w:tc>
          <w:tcPr>
            <w:tcW w:w="380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BC6FFC">
              <w:rPr>
                <w:color w:val="000000"/>
                <w:szCs w:val="22"/>
              </w:rPr>
              <w:t>Byggbonus, social resursfond</w:t>
            </w:r>
          </w:p>
        </w:tc>
        <w:tc>
          <w:tcPr>
            <w:tcW w:w="72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p>
        </w:tc>
        <w:tc>
          <w:tcPr>
            <w:tcW w:w="14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p>
        </w:tc>
        <w:tc>
          <w:tcPr>
            <w:tcW w:w="800" w:type="dxa"/>
            <w:tcBorders>
              <w:top w:val="nil"/>
              <w:left w:val="single" w:sz="4" w:space="0" w:color="auto"/>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proofErr w:type="gramStart"/>
            <w:r w:rsidRPr="00BC6FFC">
              <w:rPr>
                <w:color w:val="000000"/>
                <w:szCs w:val="22"/>
              </w:rPr>
              <w:t>-</w:t>
            </w:r>
            <w:proofErr w:type="gramEnd"/>
            <w:r w:rsidRPr="00BC6FFC">
              <w:rPr>
                <w:color w:val="000000"/>
                <w:szCs w:val="22"/>
              </w:rPr>
              <w:t>1</w:t>
            </w:r>
          </w:p>
        </w:tc>
        <w:tc>
          <w:tcPr>
            <w:tcW w:w="140" w:type="dxa"/>
            <w:tcBorders>
              <w:top w:val="nil"/>
              <w:left w:val="nil"/>
              <w:bottom w:val="nil"/>
              <w:right w:val="single" w:sz="4" w:space="0" w:color="auto"/>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BC6FFC">
              <w:rPr>
                <w:color w:val="000000"/>
                <w:szCs w:val="22"/>
              </w:rPr>
              <w:t> </w:t>
            </w:r>
          </w:p>
        </w:tc>
      </w:tr>
      <w:tr w:rsidR="00BC6FFC" w:rsidRPr="00BC6FFC" w:rsidTr="00BC6FFC">
        <w:trPr>
          <w:trHeight w:val="300"/>
        </w:trPr>
        <w:tc>
          <w:tcPr>
            <w:tcW w:w="3800" w:type="dxa"/>
            <w:tcBorders>
              <w:top w:val="single" w:sz="8" w:space="0" w:color="auto"/>
              <w:left w:val="single" w:sz="8" w:space="0" w:color="auto"/>
              <w:bottom w:val="single" w:sz="8" w:space="0" w:color="auto"/>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BC6FFC">
              <w:rPr>
                <w:b/>
                <w:bCs/>
                <w:color w:val="000000"/>
                <w:szCs w:val="22"/>
              </w:rPr>
              <w:t>Balanskravsresultat</w:t>
            </w:r>
          </w:p>
        </w:tc>
        <w:tc>
          <w:tcPr>
            <w:tcW w:w="720" w:type="dxa"/>
            <w:tcBorders>
              <w:top w:val="single" w:sz="8" w:space="0" w:color="auto"/>
              <w:left w:val="nil"/>
              <w:bottom w:val="single" w:sz="8" w:space="0" w:color="auto"/>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BC6FFC">
              <w:rPr>
                <w:b/>
                <w:bCs/>
                <w:color w:val="000000"/>
                <w:szCs w:val="22"/>
              </w:rPr>
              <w:t> </w:t>
            </w:r>
          </w:p>
        </w:tc>
        <w:tc>
          <w:tcPr>
            <w:tcW w:w="140" w:type="dxa"/>
            <w:tcBorders>
              <w:top w:val="single" w:sz="8" w:space="0" w:color="auto"/>
              <w:left w:val="nil"/>
              <w:bottom w:val="single" w:sz="8" w:space="0" w:color="auto"/>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BC6FFC">
              <w:rPr>
                <w:b/>
                <w:bCs/>
                <w:color w:val="000000"/>
                <w:szCs w:val="22"/>
              </w:rPr>
              <w:t> </w:t>
            </w:r>
          </w:p>
        </w:tc>
        <w:tc>
          <w:tcPr>
            <w:tcW w:w="800" w:type="dxa"/>
            <w:tcBorders>
              <w:top w:val="single" w:sz="8" w:space="0" w:color="auto"/>
              <w:left w:val="single" w:sz="4" w:space="0" w:color="auto"/>
              <w:bottom w:val="single" w:sz="8" w:space="0" w:color="auto"/>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BC6FFC">
              <w:rPr>
                <w:b/>
                <w:bCs/>
                <w:color w:val="000000"/>
                <w:szCs w:val="22"/>
              </w:rPr>
              <w:t>143</w:t>
            </w:r>
          </w:p>
        </w:tc>
        <w:tc>
          <w:tcPr>
            <w:tcW w:w="140" w:type="dxa"/>
            <w:tcBorders>
              <w:top w:val="single" w:sz="8" w:space="0" w:color="auto"/>
              <w:left w:val="nil"/>
              <w:bottom w:val="single" w:sz="8" w:space="0" w:color="auto"/>
              <w:right w:val="single" w:sz="8" w:space="0" w:color="auto"/>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BC6FFC">
              <w:rPr>
                <w:b/>
                <w:bCs/>
                <w:color w:val="000000"/>
                <w:szCs w:val="22"/>
              </w:rPr>
              <w:t> </w:t>
            </w:r>
          </w:p>
        </w:tc>
      </w:tr>
      <w:tr w:rsidR="00BC6FFC" w:rsidRPr="00BC6FFC" w:rsidTr="00BC6FFC">
        <w:trPr>
          <w:trHeight w:val="288"/>
        </w:trPr>
        <w:tc>
          <w:tcPr>
            <w:tcW w:w="380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szCs w:val="22"/>
              </w:rPr>
            </w:pPr>
            <w:r w:rsidRPr="00BC6FFC">
              <w:rPr>
                <w:szCs w:val="22"/>
              </w:rPr>
              <w:t>Exploatering</w:t>
            </w:r>
          </w:p>
        </w:tc>
        <w:tc>
          <w:tcPr>
            <w:tcW w:w="720" w:type="dxa"/>
            <w:tcBorders>
              <w:top w:val="nil"/>
              <w:left w:val="nil"/>
              <w:bottom w:val="nil"/>
              <w:right w:val="nil"/>
            </w:tcBorders>
            <w:shd w:val="clear" w:color="auto" w:fill="auto"/>
            <w:noWrap/>
            <w:vAlign w:val="bottom"/>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p>
        </w:tc>
        <w:tc>
          <w:tcPr>
            <w:tcW w:w="140" w:type="dxa"/>
            <w:tcBorders>
              <w:top w:val="nil"/>
              <w:left w:val="nil"/>
              <w:bottom w:val="nil"/>
              <w:right w:val="nil"/>
            </w:tcBorders>
            <w:shd w:val="clear" w:color="auto" w:fill="auto"/>
            <w:noWrap/>
            <w:vAlign w:val="bottom"/>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p>
        </w:tc>
        <w:tc>
          <w:tcPr>
            <w:tcW w:w="800" w:type="dxa"/>
            <w:tcBorders>
              <w:top w:val="nil"/>
              <w:left w:val="single" w:sz="4" w:space="0" w:color="auto"/>
              <w:bottom w:val="nil"/>
              <w:right w:val="nil"/>
            </w:tcBorders>
            <w:shd w:val="clear" w:color="auto" w:fill="auto"/>
            <w:noWrap/>
            <w:vAlign w:val="bottom"/>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proofErr w:type="gramStart"/>
            <w:r w:rsidRPr="00BC6FFC">
              <w:rPr>
                <w:color w:val="000000"/>
                <w:szCs w:val="22"/>
              </w:rPr>
              <w:t>-</w:t>
            </w:r>
            <w:proofErr w:type="gramEnd"/>
            <w:r w:rsidRPr="00BC6FFC">
              <w:rPr>
                <w:color w:val="000000"/>
                <w:szCs w:val="22"/>
              </w:rPr>
              <w:t>116</w:t>
            </w:r>
          </w:p>
        </w:tc>
        <w:tc>
          <w:tcPr>
            <w:tcW w:w="140" w:type="dxa"/>
            <w:tcBorders>
              <w:top w:val="nil"/>
              <w:left w:val="nil"/>
              <w:bottom w:val="nil"/>
              <w:right w:val="single" w:sz="4" w:space="0" w:color="auto"/>
            </w:tcBorders>
            <w:shd w:val="clear" w:color="auto" w:fill="auto"/>
            <w:noWrap/>
            <w:vAlign w:val="bottom"/>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BC6FFC">
              <w:rPr>
                <w:color w:val="000000"/>
                <w:szCs w:val="22"/>
              </w:rPr>
              <w:t> </w:t>
            </w:r>
          </w:p>
        </w:tc>
      </w:tr>
      <w:tr w:rsidR="00BC6FFC" w:rsidRPr="00BC6FFC" w:rsidTr="00BC6FFC">
        <w:trPr>
          <w:trHeight w:val="288"/>
        </w:trPr>
        <w:tc>
          <w:tcPr>
            <w:tcW w:w="380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BC6FFC">
              <w:rPr>
                <w:color w:val="000000"/>
                <w:szCs w:val="22"/>
              </w:rPr>
              <w:t>Övriga jämförelsestörande poster</w:t>
            </w:r>
          </w:p>
        </w:tc>
        <w:tc>
          <w:tcPr>
            <w:tcW w:w="72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p>
        </w:tc>
        <w:tc>
          <w:tcPr>
            <w:tcW w:w="14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p>
        </w:tc>
        <w:tc>
          <w:tcPr>
            <w:tcW w:w="800" w:type="dxa"/>
            <w:tcBorders>
              <w:top w:val="nil"/>
              <w:left w:val="single" w:sz="4" w:space="0" w:color="auto"/>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BC6FFC">
              <w:rPr>
                <w:color w:val="000000"/>
                <w:szCs w:val="22"/>
              </w:rPr>
              <w:t>55</w:t>
            </w:r>
          </w:p>
        </w:tc>
        <w:tc>
          <w:tcPr>
            <w:tcW w:w="140" w:type="dxa"/>
            <w:tcBorders>
              <w:top w:val="nil"/>
              <w:left w:val="nil"/>
              <w:bottom w:val="nil"/>
              <w:right w:val="single" w:sz="4" w:space="0" w:color="auto"/>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BC6FFC">
              <w:rPr>
                <w:color w:val="000000"/>
                <w:szCs w:val="22"/>
              </w:rPr>
              <w:t> </w:t>
            </w:r>
          </w:p>
        </w:tc>
      </w:tr>
      <w:tr w:rsidR="00BC6FFC" w:rsidRPr="00BC6FFC" w:rsidTr="00BC6FFC">
        <w:trPr>
          <w:trHeight w:val="576"/>
        </w:trPr>
        <w:tc>
          <w:tcPr>
            <w:tcW w:w="380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BC6FFC">
              <w:rPr>
                <w:b/>
                <w:bCs/>
                <w:color w:val="000000"/>
                <w:szCs w:val="22"/>
              </w:rPr>
              <w:t>Resultat exklusive jämförelsestörande poster</w:t>
            </w:r>
          </w:p>
        </w:tc>
        <w:tc>
          <w:tcPr>
            <w:tcW w:w="72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p>
        </w:tc>
        <w:tc>
          <w:tcPr>
            <w:tcW w:w="140" w:type="dxa"/>
            <w:tcBorders>
              <w:top w:val="nil"/>
              <w:left w:val="nil"/>
              <w:bottom w:val="nil"/>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p>
        </w:tc>
        <w:tc>
          <w:tcPr>
            <w:tcW w:w="800" w:type="dxa"/>
            <w:tcBorders>
              <w:top w:val="nil"/>
              <w:left w:val="single" w:sz="4" w:space="0" w:color="auto"/>
              <w:bottom w:val="single" w:sz="4" w:space="0" w:color="auto"/>
              <w:right w:val="nil"/>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BC6FFC">
              <w:rPr>
                <w:b/>
                <w:bCs/>
                <w:color w:val="000000"/>
                <w:szCs w:val="22"/>
              </w:rPr>
              <w:t>82</w:t>
            </w:r>
          </w:p>
        </w:tc>
        <w:tc>
          <w:tcPr>
            <w:tcW w:w="140" w:type="dxa"/>
            <w:tcBorders>
              <w:top w:val="nil"/>
              <w:left w:val="nil"/>
              <w:bottom w:val="single" w:sz="4" w:space="0" w:color="auto"/>
              <w:right w:val="single" w:sz="4" w:space="0" w:color="auto"/>
            </w:tcBorders>
            <w:shd w:val="clear" w:color="auto" w:fill="auto"/>
            <w:vAlign w:val="center"/>
            <w:hideMark/>
          </w:tcPr>
          <w:p w:rsidR="00BC6FFC" w:rsidRPr="00BC6FFC" w:rsidRDefault="00BC6FFC" w:rsidP="00BC6FFC">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BC6FFC">
              <w:rPr>
                <w:b/>
                <w:bCs/>
                <w:color w:val="000000"/>
                <w:szCs w:val="22"/>
              </w:rPr>
              <w:t> </w:t>
            </w:r>
          </w:p>
        </w:tc>
      </w:tr>
    </w:tbl>
    <w:p w:rsidR="00543477" w:rsidRDefault="00543477" w:rsidP="00A46CE9">
      <w:pPr>
        <w:pStyle w:val="Rubrik2-Numrering"/>
        <w:numPr>
          <w:ilvl w:val="0"/>
          <w:numId w:val="0"/>
        </w:numPr>
      </w:pPr>
    </w:p>
    <w:p w:rsidR="00213838" w:rsidRDefault="00213838" w:rsidP="00A46CE9">
      <w:pPr>
        <w:pStyle w:val="Rubrik2-Numrering"/>
        <w:numPr>
          <w:ilvl w:val="0"/>
          <w:numId w:val="0"/>
        </w:numPr>
      </w:pPr>
      <w:r w:rsidRPr="00A46CE9">
        <w:t>Skatteintäkter, utjämning och bidrag</w:t>
      </w:r>
    </w:p>
    <w:p w:rsidR="00E6733F" w:rsidRDefault="00E66DEC" w:rsidP="00C3606D">
      <w:pPr>
        <w:spacing w:after="120" w:line="240" w:lineRule="auto"/>
      </w:pPr>
      <w:r>
        <w:rPr>
          <w:bCs/>
          <w:shd w:val="clear" w:color="auto" w:fill="FFFFFF"/>
        </w:rPr>
        <w:t>S</w:t>
      </w:r>
      <w:r w:rsidR="009A5AE3" w:rsidRPr="00306868">
        <w:rPr>
          <w:bCs/>
          <w:shd w:val="clear" w:color="auto" w:fill="FFFFFF"/>
        </w:rPr>
        <w:t>katteintäkter, utjämning och generella stats</w:t>
      </w:r>
      <w:r w:rsidR="009A5AE3">
        <w:rPr>
          <w:bCs/>
          <w:shd w:val="clear" w:color="auto" w:fill="FFFFFF"/>
        </w:rPr>
        <w:t xml:space="preserve">bidrag uppgår sammantaget till </w:t>
      </w:r>
      <w:r w:rsidR="009E73FF">
        <w:rPr>
          <w:bCs/>
          <w:shd w:val="clear" w:color="auto" w:fill="FFFFFF"/>
        </w:rPr>
        <w:t>8</w:t>
      </w:r>
      <w:r w:rsidR="00E6733F">
        <w:rPr>
          <w:bCs/>
          <w:shd w:val="clear" w:color="auto" w:fill="FFFFFF"/>
        </w:rPr>
        <w:t> </w:t>
      </w:r>
      <w:r w:rsidR="009E73FF">
        <w:rPr>
          <w:bCs/>
          <w:shd w:val="clear" w:color="auto" w:fill="FFFFFF"/>
        </w:rPr>
        <w:t>070,0</w:t>
      </w:r>
      <w:r w:rsidR="009A5AE3">
        <w:rPr>
          <w:bCs/>
          <w:shd w:val="clear" w:color="auto" w:fill="FFFFFF"/>
        </w:rPr>
        <w:t xml:space="preserve"> </w:t>
      </w:r>
      <w:r w:rsidR="009A5AE3" w:rsidRPr="00306868">
        <w:rPr>
          <w:bCs/>
          <w:shd w:val="clear" w:color="auto" w:fill="FFFFFF"/>
        </w:rPr>
        <w:t>mnkr</w:t>
      </w:r>
      <w:r w:rsidR="00E6733F">
        <w:rPr>
          <w:bCs/>
          <w:shd w:val="clear" w:color="auto" w:fill="FFFFFF"/>
        </w:rPr>
        <w:t> </w:t>
      </w:r>
      <w:r w:rsidR="009A5AE3" w:rsidRPr="00306868">
        <w:rPr>
          <w:bCs/>
          <w:shd w:val="clear" w:color="auto" w:fill="FFFFFF"/>
        </w:rPr>
        <w:t xml:space="preserve">vilket är i </w:t>
      </w:r>
      <w:r w:rsidR="009E73FF">
        <w:rPr>
          <w:bCs/>
          <w:shd w:val="clear" w:color="auto" w:fill="FFFFFF"/>
        </w:rPr>
        <w:t>11,2</w:t>
      </w:r>
      <w:r w:rsidR="009A5AE3" w:rsidRPr="00306868">
        <w:rPr>
          <w:bCs/>
          <w:shd w:val="clear" w:color="auto" w:fill="FFFFFF"/>
        </w:rPr>
        <w:t xml:space="preserve"> mnkr </w:t>
      </w:r>
      <w:r w:rsidR="009A5AE3" w:rsidRPr="009E73FF">
        <w:rPr>
          <w:bCs/>
          <w:shd w:val="clear" w:color="auto" w:fill="FFFFFF"/>
        </w:rPr>
        <w:t>högre</w:t>
      </w:r>
      <w:r w:rsidR="009A5AE3" w:rsidRPr="00306868">
        <w:rPr>
          <w:bCs/>
          <w:shd w:val="clear" w:color="auto" w:fill="FFFFFF"/>
        </w:rPr>
        <w:t xml:space="preserve"> än budgeterat.</w:t>
      </w:r>
      <w:r w:rsidR="009A5AE3">
        <w:rPr>
          <w:bCs/>
          <w:shd w:val="clear" w:color="auto" w:fill="FFFFFF"/>
        </w:rPr>
        <w:t xml:space="preserve"> </w:t>
      </w:r>
      <w:r w:rsidR="009A5AE3" w:rsidRPr="008D7CA0">
        <w:rPr>
          <w:bCs/>
          <w:shd w:val="clear" w:color="auto" w:fill="FFFFFF"/>
        </w:rPr>
        <w:t>Den avvikelsen beror på</w:t>
      </w:r>
      <w:r w:rsidR="009E73FF" w:rsidRPr="008D7CA0">
        <w:rPr>
          <w:bCs/>
          <w:shd w:val="clear" w:color="auto" w:fill="FFFFFF"/>
        </w:rPr>
        <w:t xml:space="preserve"> 4,9 mnkr lägre skatteintäkter, 32,9 mnkr högre generella statsbidrag, 16,7 mnkr lägre byggbonus än budgeterat.</w:t>
      </w:r>
      <w:r w:rsidR="009E73FF">
        <w:rPr>
          <w:bCs/>
          <w:shd w:val="clear" w:color="auto" w:fill="FFFFFF"/>
        </w:rPr>
        <w:t xml:space="preserve"> </w:t>
      </w:r>
      <w:r w:rsidR="009811A6">
        <w:t xml:space="preserve"> </w:t>
      </w:r>
    </w:p>
    <w:p w:rsidR="00213838" w:rsidRDefault="00213838" w:rsidP="008F34B5">
      <w:pPr>
        <w:pStyle w:val="Rubrik2"/>
      </w:pPr>
      <w:r>
        <w:t>Finansnetto</w:t>
      </w:r>
    </w:p>
    <w:p w:rsidR="009A5AE3" w:rsidRDefault="009A5AE3" w:rsidP="00C3606D">
      <w:pPr>
        <w:spacing w:after="120" w:line="240" w:lineRule="auto"/>
      </w:pPr>
      <w:r>
        <w:t>F</w:t>
      </w:r>
      <w:r w:rsidRPr="009621C7">
        <w:t xml:space="preserve">inansnettot för Västerås stad uppgår till </w:t>
      </w:r>
      <w:r w:rsidR="009E73FF">
        <w:t>60,0</w:t>
      </w:r>
      <w:r w:rsidRPr="009621C7">
        <w:t xml:space="preserve"> mnkr, vilket är </w:t>
      </w:r>
      <w:r w:rsidR="009E73FF">
        <w:t>1</w:t>
      </w:r>
      <w:r w:rsidR="008D7CA0">
        <w:t>2</w:t>
      </w:r>
      <w:r w:rsidRPr="009621C7">
        <w:t xml:space="preserve"> mnkr </w:t>
      </w:r>
      <w:r w:rsidRPr="009E73FF">
        <w:t>högre</w:t>
      </w:r>
      <w:r w:rsidRPr="009621C7">
        <w:t xml:space="preserve"> än budgeterat.</w:t>
      </w:r>
      <w:r>
        <w:t xml:space="preserve"> </w:t>
      </w:r>
      <w:r w:rsidR="00171E4C">
        <w:t xml:space="preserve">Inom internbanken blev övriga finansiella kostnader, bankkostnader samt att avgifter för negativ inlåningsränta högre än budgeterat. </w:t>
      </w:r>
      <w:r w:rsidR="00CC2091">
        <w:t>Kapitalvinster</w:t>
      </w:r>
      <w:r w:rsidR="00171E4C">
        <w:t xml:space="preserve"> i kulturfonden och pensionsfonden samt att fastighetskontoret har aktiverat mer ränta på investeringar än budgeterat gör att finansnettot totalt är högre än budget.</w:t>
      </w:r>
    </w:p>
    <w:p w:rsidR="00621892" w:rsidRDefault="00621892" w:rsidP="00621892">
      <w:pPr>
        <w:pStyle w:val="Rubrik2-Numrering"/>
        <w:numPr>
          <w:ilvl w:val="0"/>
          <w:numId w:val="0"/>
        </w:numPr>
        <w:tabs>
          <w:tab w:val="clear" w:pos="5216"/>
          <w:tab w:val="clear" w:pos="6521"/>
          <w:tab w:val="clear" w:pos="7825"/>
          <w:tab w:val="clear" w:pos="9129"/>
          <w:tab w:val="left" w:pos="7020"/>
        </w:tabs>
        <w:ind w:left="584" w:hanging="584"/>
      </w:pPr>
    </w:p>
    <w:p w:rsidR="00621892" w:rsidRDefault="00621892" w:rsidP="00621892">
      <w:pPr>
        <w:pStyle w:val="Rubrik2-Numrering"/>
        <w:numPr>
          <w:ilvl w:val="0"/>
          <w:numId w:val="0"/>
        </w:numPr>
        <w:tabs>
          <w:tab w:val="clear" w:pos="5216"/>
          <w:tab w:val="clear" w:pos="6521"/>
          <w:tab w:val="clear" w:pos="7825"/>
          <w:tab w:val="clear" w:pos="9129"/>
          <w:tab w:val="left" w:pos="7020"/>
        </w:tabs>
        <w:ind w:left="584" w:hanging="584"/>
      </w:pPr>
      <w:r>
        <w:t>Verksamhetens nettokostnader</w:t>
      </w:r>
      <w:r>
        <w:tab/>
      </w:r>
      <w:r>
        <w:tab/>
      </w:r>
    </w:p>
    <w:p w:rsidR="00621892" w:rsidRDefault="00621892" w:rsidP="00621892">
      <w:pPr>
        <w:spacing w:after="120" w:line="240" w:lineRule="auto"/>
        <w:ind w:hanging="17"/>
      </w:pPr>
      <w:r>
        <w:t xml:space="preserve">Verksamheternas nettokostnader </w:t>
      </w:r>
      <w:r w:rsidRPr="00460E18">
        <w:t xml:space="preserve">är </w:t>
      </w:r>
      <w:r w:rsidR="008E07AA">
        <w:t>120</w:t>
      </w:r>
      <w:r w:rsidRPr="00460E18">
        <w:t xml:space="preserve"> mnkr</w:t>
      </w:r>
      <w:r>
        <w:t xml:space="preserve"> högre än budgeterat frånräknat realisationsvinster och vinster inom exploateringsverksamheten. </w:t>
      </w:r>
    </w:p>
    <w:p w:rsidR="00621892" w:rsidRDefault="00621892" w:rsidP="00621892">
      <w:pPr>
        <w:spacing w:after="120" w:line="240" w:lineRule="auto"/>
        <w:ind w:hanging="17"/>
      </w:pPr>
      <w:r>
        <w:lastRenderedPageBreak/>
        <w:t xml:space="preserve">Realisationsvinster hos fastighetsnämnden för försäljning av tomträtter och fastigheter uppgår till 186,6 mnkr och vinster inom exploateringsverksamheten till 116,2 mnkr. </w:t>
      </w:r>
    </w:p>
    <w:p w:rsidR="00621892" w:rsidRDefault="00621892" w:rsidP="00621892">
      <w:pPr>
        <w:spacing w:after="120" w:line="240" w:lineRule="auto"/>
        <w:ind w:hanging="17"/>
      </w:pPr>
      <w:r w:rsidRPr="00C715BF">
        <w:t>Individ- och familjenämnden</w:t>
      </w:r>
      <w:r>
        <w:t xml:space="preserve"> har under hela 2018 signalerat stora budgetunderskott beroende på ett ökat antal ärenden från hösten 2017. Underskottet slutade på 96,4 mnkr trots att ett åtgärdspaket sattes </w:t>
      </w:r>
      <w:r w:rsidR="00BC6FFC">
        <w:t>in redan under första halv</w:t>
      </w:r>
      <w:r>
        <w:t xml:space="preserve">året. Åtgärderna är tänkta att hålla långsiktigt och det går att se att utvecklingen är på väg åt rätt håll. </w:t>
      </w:r>
    </w:p>
    <w:p w:rsidR="00621892" w:rsidRDefault="00621892" w:rsidP="00621892">
      <w:pPr>
        <w:spacing w:after="120" w:line="240" w:lineRule="auto"/>
      </w:pPr>
      <w:r w:rsidRPr="00C2379D">
        <w:t>Nämnden för personer med funktionshinder</w:t>
      </w:r>
      <w:r>
        <w:t xml:space="preserve"> visar i bokslutet ett negativt resultat med 30,3 mnkr mot budget. Underskottet finns inom området insatser med stöd av LSS (Lag om stöd och service till vissa funktionshindrade). </w:t>
      </w:r>
    </w:p>
    <w:p w:rsidR="00621892" w:rsidRDefault="00621892" w:rsidP="00621892">
      <w:pPr>
        <w:spacing w:after="120" w:line="240" w:lineRule="auto"/>
        <w:ind w:hanging="17"/>
      </w:pPr>
      <w:r w:rsidRPr="00355068">
        <w:t>Äldrenämnden</w:t>
      </w:r>
      <w:r>
        <w:t xml:space="preserve"> har genom åtgärder och budgetförstärkningar vänt tidigare års underskott till ett överskott på 46,5 mnkr för 2018. </w:t>
      </w:r>
      <w:r w:rsidRPr="00AC6ED4">
        <w:t>Avvikelserna återfinn</w:t>
      </w:r>
      <w:r>
        <w:t xml:space="preserve">s främst inom områden hemtjänst, </w:t>
      </w:r>
      <w:r w:rsidRPr="00AC6ED4">
        <w:t xml:space="preserve">äldreboende </w:t>
      </w:r>
      <w:r>
        <w:t xml:space="preserve">och lokalanpassning. </w:t>
      </w:r>
      <w:r w:rsidRPr="002B0381">
        <w:t xml:space="preserve">Förändringar i biståndsbedömning har gjort att antalet hemtjänsttimmar har </w:t>
      </w:r>
      <w:r w:rsidR="00BC6FFC">
        <w:t>minskat</w:t>
      </w:r>
      <w:r w:rsidRPr="002B0381">
        <w:t xml:space="preserve"> jämfört med tidigare år. </w:t>
      </w:r>
      <w:r>
        <w:t>De</w:t>
      </w:r>
      <w:r w:rsidR="00E906DB">
        <w:t>n</w:t>
      </w:r>
      <w:r>
        <w:t xml:space="preserve"> kommunala utföraren Västerås Vård och omsorg som har ca 35 % av marknaden för hemtjänst har dock inte kunnat få balans i hemtjänst trots ökade ersättningar. </w:t>
      </w:r>
      <w:r w:rsidR="00E906DB">
        <w:t>Inte heller i Skultuna kommundel är hemtjänsten i balans.</w:t>
      </w:r>
    </w:p>
    <w:p w:rsidR="00621892" w:rsidRDefault="00621892" w:rsidP="00621892">
      <w:pPr>
        <w:spacing w:after="120" w:line="240" w:lineRule="auto"/>
        <w:ind w:hanging="17"/>
      </w:pPr>
      <w:r w:rsidRPr="002D73F3">
        <w:t xml:space="preserve">Exkluderat avsättning för miljöskuld på 84,8 mnkr så </w:t>
      </w:r>
      <w:r w:rsidR="00BC6FFC">
        <w:t>är</w:t>
      </w:r>
      <w:r w:rsidRPr="002D73F3">
        <w:t xml:space="preserve"> de centrala </w:t>
      </w:r>
      <w:r w:rsidRPr="00631F65">
        <w:t>posterna 13,1</w:t>
      </w:r>
      <w:r w:rsidRPr="002D73F3">
        <w:t xml:space="preserve"> mnkr bättre än budget. Det beror bland annat på en försäkringsersättning för branden i Önstaskolan 2016.</w:t>
      </w:r>
    </w:p>
    <w:p w:rsidR="00621892" w:rsidRDefault="00621892" w:rsidP="00621892">
      <w:pPr>
        <w:spacing w:after="120" w:line="240" w:lineRule="auto"/>
        <w:ind w:hanging="17"/>
      </w:pPr>
      <w:r w:rsidRPr="002E75E9">
        <w:t>De pedagogiska nämnderna</w:t>
      </w:r>
      <w:r>
        <w:t xml:space="preserve"> visar tillsammans en negativ budgetavvikelse. Förskolenämnden har ett underskott beroende på fler barn än budgeterat, medan utbildnings- och arbetsmarknadsnämnden visar ett underskott </w:t>
      </w:r>
      <w:r w:rsidRPr="009E3861">
        <w:t xml:space="preserve">i den </w:t>
      </w:r>
      <w:r>
        <w:t>kommunala</w:t>
      </w:r>
      <w:r w:rsidRPr="009E3861">
        <w:t xml:space="preserve"> gymnasieskolan på grund av högre lokalkostnader. Grundskolenämnden</w:t>
      </w:r>
      <w:r>
        <w:t>, som under året fått extra tillskott av kommunstyrelsen, visar ett överskott mot budget beroende på fler elever i förskoleklass-årskurs 6 samt i särskolan.</w:t>
      </w:r>
    </w:p>
    <w:p w:rsidR="00213838" w:rsidRDefault="00A46CE9" w:rsidP="006F3138">
      <w:pPr>
        <w:pStyle w:val="Rubrik1"/>
      </w:pPr>
      <w:r w:rsidRPr="006F3138">
        <w:t>Nämnder och styrelser</w:t>
      </w:r>
    </w:p>
    <w:p w:rsidR="00D0012A" w:rsidRPr="00D0012A" w:rsidRDefault="00962CD5" w:rsidP="00D0012A">
      <w:r>
        <w:tab/>
      </w:r>
      <w:r>
        <w:tab/>
      </w:r>
      <w:r>
        <w:tab/>
        <w:t xml:space="preserve">         (</w:t>
      </w:r>
      <w:r w:rsidR="00D0012A">
        <w:t xml:space="preserve">Alla </w:t>
      </w:r>
      <w:r>
        <w:t>siffror i miljoner kronor, mnkr)</w:t>
      </w:r>
    </w:p>
    <w:p w:rsidR="00A46CE9" w:rsidRDefault="00A46CE9" w:rsidP="007638C4">
      <w:pPr>
        <w:pStyle w:val="Rubrik2"/>
      </w:pPr>
      <w:r w:rsidRPr="007638C4">
        <w:t>Förskolenämnden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962CD5">
        <w:tc>
          <w:tcPr>
            <w:tcW w:w="2654" w:type="dxa"/>
            <w:shd w:val="clear" w:color="auto" w:fill="DBE5F1" w:themeFill="accent1" w:themeFillTint="33"/>
          </w:tcPr>
          <w:p w:rsidR="006F3138" w:rsidRDefault="006F3138" w:rsidP="00A46CE9">
            <w:r>
              <w:t>Budget</w:t>
            </w:r>
          </w:p>
        </w:tc>
        <w:tc>
          <w:tcPr>
            <w:tcW w:w="2655" w:type="dxa"/>
            <w:shd w:val="clear" w:color="auto" w:fill="DBE5F1" w:themeFill="accent1" w:themeFillTint="33"/>
          </w:tcPr>
          <w:p w:rsidR="006F3138" w:rsidRDefault="006F3138" w:rsidP="00A46CE9">
            <w:r>
              <w:t>Utfall</w:t>
            </w:r>
          </w:p>
        </w:tc>
        <w:tc>
          <w:tcPr>
            <w:tcW w:w="2655" w:type="dxa"/>
            <w:shd w:val="clear" w:color="auto" w:fill="DBE5F1" w:themeFill="accent1" w:themeFillTint="33"/>
          </w:tcPr>
          <w:p w:rsidR="008F34B5" w:rsidRDefault="006F3138" w:rsidP="008F34B5">
            <w:r>
              <w:t>Avvikelse</w:t>
            </w:r>
          </w:p>
        </w:tc>
      </w:tr>
      <w:tr w:rsidR="006F3138" w:rsidTr="00962CD5">
        <w:tc>
          <w:tcPr>
            <w:tcW w:w="2654" w:type="dxa"/>
            <w:shd w:val="clear" w:color="auto" w:fill="DBE5F1" w:themeFill="accent1" w:themeFillTint="33"/>
          </w:tcPr>
          <w:p w:rsidR="006F3138" w:rsidRDefault="008F34B5" w:rsidP="00A46CE9">
            <w:r>
              <w:t>942,1</w:t>
            </w:r>
          </w:p>
        </w:tc>
        <w:tc>
          <w:tcPr>
            <w:tcW w:w="2655" w:type="dxa"/>
            <w:shd w:val="clear" w:color="auto" w:fill="DBE5F1" w:themeFill="accent1" w:themeFillTint="33"/>
          </w:tcPr>
          <w:p w:rsidR="006F3138" w:rsidRDefault="008F34B5" w:rsidP="00A46CE9">
            <w:r>
              <w:t>949,5</w:t>
            </w:r>
          </w:p>
        </w:tc>
        <w:tc>
          <w:tcPr>
            <w:tcW w:w="2655" w:type="dxa"/>
            <w:shd w:val="clear" w:color="auto" w:fill="DBE5F1" w:themeFill="accent1" w:themeFillTint="33"/>
          </w:tcPr>
          <w:p w:rsidR="006F3138" w:rsidRDefault="008F34B5" w:rsidP="00A46CE9">
            <w:proofErr w:type="gramStart"/>
            <w:r>
              <w:t>-</w:t>
            </w:r>
            <w:proofErr w:type="gramEnd"/>
            <w:r>
              <w:t>7,4</w:t>
            </w:r>
          </w:p>
        </w:tc>
      </w:tr>
    </w:tbl>
    <w:p w:rsidR="006F3138" w:rsidRDefault="00CC0CB7" w:rsidP="00C3606D">
      <w:pPr>
        <w:spacing w:after="120" w:line="240" w:lineRule="auto"/>
      </w:pPr>
      <w:r>
        <w:t>Nämnden visar ett underskott på 7</w:t>
      </w:r>
      <w:r w:rsidR="00B1499F">
        <w:t>,4</w:t>
      </w:r>
      <w:r>
        <w:t xml:space="preserve"> </w:t>
      </w:r>
      <w:r w:rsidR="0090061A">
        <w:t xml:space="preserve">mnkr beroende på fler barn än </w:t>
      </w:r>
      <w:r w:rsidR="00D0012A">
        <w:t>beräknat och e</w:t>
      </w:r>
      <w:r>
        <w:t xml:space="preserve">n </w:t>
      </w:r>
      <w:r w:rsidR="0090061A">
        <w:t>reservering</w:t>
      </w:r>
      <w:r>
        <w:t xml:space="preserve"> för utbetalning av underskottskompensation till fristående förskolor när </w:t>
      </w:r>
      <w:r w:rsidR="00B1499F">
        <w:t>kommunala</w:t>
      </w:r>
      <w:r>
        <w:t xml:space="preserve"> förskolor visar underskott. De </w:t>
      </w:r>
      <w:r w:rsidR="00B1499F">
        <w:t>kommunala</w:t>
      </w:r>
      <w:r>
        <w:t xml:space="preserve"> förskolorna har haft högre kostnader för IT-utrustning och IT-kommunikation än budgeterat.</w:t>
      </w:r>
    </w:p>
    <w:p w:rsidR="00A46CE9" w:rsidRPr="00B04291" w:rsidRDefault="00A46CE9" w:rsidP="00B04291">
      <w:pPr>
        <w:pStyle w:val="Rubrik2"/>
      </w:pPr>
      <w:r w:rsidRPr="00B04291">
        <w:t>Grundskolenämnden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B04291">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6F3138" w:rsidP="002B0381">
            <w:r>
              <w:t>Utfall</w:t>
            </w:r>
          </w:p>
        </w:tc>
        <w:tc>
          <w:tcPr>
            <w:tcW w:w="2655" w:type="dxa"/>
            <w:shd w:val="clear" w:color="auto" w:fill="DBE5F1" w:themeFill="accent1" w:themeFillTint="33"/>
          </w:tcPr>
          <w:p w:rsidR="006F3138" w:rsidRDefault="006F3138" w:rsidP="002B0381">
            <w:r>
              <w:t>Avvikelse</w:t>
            </w:r>
          </w:p>
        </w:tc>
      </w:tr>
      <w:tr w:rsidR="006F3138" w:rsidTr="00B04291">
        <w:tc>
          <w:tcPr>
            <w:tcW w:w="2654" w:type="dxa"/>
            <w:shd w:val="clear" w:color="auto" w:fill="DBE5F1" w:themeFill="accent1" w:themeFillTint="33"/>
          </w:tcPr>
          <w:p w:rsidR="006F3138" w:rsidRDefault="008F34B5" w:rsidP="008F34B5">
            <w:r>
              <w:t>1 792,6</w:t>
            </w:r>
          </w:p>
        </w:tc>
        <w:tc>
          <w:tcPr>
            <w:tcW w:w="2655" w:type="dxa"/>
            <w:shd w:val="clear" w:color="auto" w:fill="DBE5F1" w:themeFill="accent1" w:themeFillTint="33"/>
          </w:tcPr>
          <w:p w:rsidR="006F3138" w:rsidRDefault="008F34B5" w:rsidP="002B0381">
            <w:r>
              <w:t>1 789,6</w:t>
            </w:r>
          </w:p>
        </w:tc>
        <w:tc>
          <w:tcPr>
            <w:tcW w:w="2655" w:type="dxa"/>
            <w:shd w:val="clear" w:color="auto" w:fill="DBE5F1" w:themeFill="accent1" w:themeFillTint="33"/>
          </w:tcPr>
          <w:p w:rsidR="006F3138" w:rsidRDefault="008F34B5" w:rsidP="002B0381">
            <w:r>
              <w:t>3,0</w:t>
            </w:r>
          </w:p>
        </w:tc>
      </w:tr>
    </w:tbl>
    <w:p w:rsidR="006F3138" w:rsidRDefault="0090061A" w:rsidP="00CE6E8E">
      <w:pPr>
        <w:spacing w:after="120" w:line="240" w:lineRule="auto"/>
      </w:pPr>
      <w:r>
        <w:t>Överskott</w:t>
      </w:r>
      <w:r w:rsidR="00B1499F">
        <w:t xml:space="preserve"> återfinns i de kommunala skolorna. </w:t>
      </w:r>
      <w:r w:rsidR="00CE6E8E">
        <w:t>Både grundsärskola och förskoleklass till årskurs 6 fick ett överskott mot budget på grund av att elevtalet var högre. Däremot visade högstadiet underskott beroende på högre personalkostnader. Totalt för nämnden slutade resultatet på 3 mnkr bättre än budget.</w:t>
      </w:r>
    </w:p>
    <w:p w:rsidR="00A46CE9" w:rsidRDefault="00A46CE9" w:rsidP="006F3138">
      <w:pPr>
        <w:pStyle w:val="Rubrik2"/>
      </w:pPr>
      <w:r>
        <w:lastRenderedPageBreak/>
        <w:t>Utbildnings- och arbetsmarknadsnämnden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7638C4">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6F3138" w:rsidP="002B0381">
            <w:r>
              <w:t>Utfall</w:t>
            </w:r>
          </w:p>
        </w:tc>
        <w:tc>
          <w:tcPr>
            <w:tcW w:w="2655" w:type="dxa"/>
            <w:shd w:val="clear" w:color="auto" w:fill="DBE5F1" w:themeFill="accent1" w:themeFillTint="33"/>
          </w:tcPr>
          <w:p w:rsidR="006F3138" w:rsidRDefault="006F3138" w:rsidP="002B0381">
            <w:r>
              <w:t>Avvikelse</w:t>
            </w:r>
          </w:p>
        </w:tc>
      </w:tr>
      <w:tr w:rsidR="006F3138" w:rsidTr="007638C4">
        <w:tc>
          <w:tcPr>
            <w:tcW w:w="2654" w:type="dxa"/>
            <w:shd w:val="clear" w:color="auto" w:fill="DBE5F1" w:themeFill="accent1" w:themeFillTint="33"/>
          </w:tcPr>
          <w:p w:rsidR="006F3138" w:rsidRDefault="008F34B5" w:rsidP="002B0381">
            <w:r>
              <w:t>775,2</w:t>
            </w:r>
          </w:p>
        </w:tc>
        <w:tc>
          <w:tcPr>
            <w:tcW w:w="2655" w:type="dxa"/>
            <w:shd w:val="clear" w:color="auto" w:fill="DBE5F1" w:themeFill="accent1" w:themeFillTint="33"/>
          </w:tcPr>
          <w:p w:rsidR="006F3138" w:rsidRDefault="0042467E" w:rsidP="002B0381">
            <w:r>
              <w:t>776,9</w:t>
            </w:r>
          </w:p>
        </w:tc>
        <w:tc>
          <w:tcPr>
            <w:tcW w:w="2655" w:type="dxa"/>
            <w:shd w:val="clear" w:color="auto" w:fill="DBE5F1" w:themeFill="accent1" w:themeFillTint="33"/>
          </w:tcPr>
          <w:p w:rsidR="006F3138" w:rsidRDefault="0042467E" w:rsidP="002B0381">
            <w:proofErr w:type="gramStart"/>
            <w:r>
              <w:t>-</w:t>
            </w:r>
            <w:proofErr w:type="gramEnd"/>
            <w:r>
              <w:t>1,7</w:t>
            </w:r>
          </w:p>
        </w:tc>
      </w:tr>
    </w:tbl>
    <w:p w:rsidR="006F3138" w:rsidRPr="006F3138" w:rsidRDefault="00D0012A" w:rsidP="00CE6E8E">
      <w:pPr>
        <w:spacing w:after="120" w:line="240" w:lineRule="auto"/>
      </w:pPr>
      <w:r>
        <w:t>N</w:t>
      </w:r>
      <w:r w:rsidR="00CE6E8E">
        <w:t>ämnden har</w:t>
      </w:r>
      <w:r>
        <w:t xml:space="preserve"> en mindre avvikelse på 1,7</w:t>
      </w:r>
      <w:r w:rsidR="00B1499F">
        <w:t xml:space="preserve"> mnkr. Den kommunala </w:t>
      </w:r>
      <w:r w:rsidR="00CE6E8E">
        <w:t>yrkeshögskole</w:t>
      </w:r>
      <w:r w:rsidR="00981AD1">
        <w:t>-</w:t>
      </w:r>
      <w:r w:rsidR="00CE6E8E">
        <w:t>utbildningen har ett underskott på 3 mnkr och gymnasieskolan</w:t>
      </w:r>
      <w:r>
        <w:t xml:space="preserve"> i kommunal regi har</w:t>
      </w:r>
      <w:r w:rsidR="00CE6E8E">
        <w:t xml:space="preserve"> ett underskott på 6 mnkr huvudsakligen beroende på högre lokalkostnader. Ett lägre tilläggsbelopp till fristående gymnasier samt lägre kostnad för utvecklingsmedel väger till stor del upp underskottet totalt sett.</w:t>
      </w:r>
    </w:p>
    <w:p w:rsidR="00A46CE9" w:rsidRDefault="00A46CE9" w:rsidP="006F3138">
      <w:pPr>
        <w:pStyle w:val="Rubrik2"/>
      </w:pPr>
      <w:r>
        <w:t>Individ- och familjenämnden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7638C4">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6F3138" w:rsidP="002B0381">
            <w:r>
              <w:t>Utfall</w:t>
            </w:r>
          </w:p>
        </w:tc>
        <w:tc>
          <w:tcPr>
            <w:tcW w:w="2655" w:type="dxa"/>
            <w:shd w:val="clear" w:color="auto" w:fill="DBE5F1" w:themeFill="accent1" w:themeFillTint="33"/>
          </w:tcPr>
          <w:p w:rsidR="006F3138" w:rsidRDefault="006F3138" w:rsidP="002B0381">
            <w:r>
              <w:t>Avvikelse</w:t>
            </w:r>
          </w:p>
        </w:tc>
      </w:tr>
      <w:tr w:rsidR="006F3138" w:rsidTr="007638C4">
        <w:tc>
          <w:tcPr>
            <w:tcW w:w="2654" w:type="dxa"/>
            <w:shd w:val="clear" w:color="auto" w:fill="DBE5F1" w:themeFill="accent1" w:themeFillTint="33"/>
          </w:tcPr>
          <w:p w:rsidR="006F3138" w:rsidRDefault="0042467E" w:rsidP="002B0381">
            <w:r>
              <w:t>806,0</w:t>
            </w:r>
          </w:p>
        </w:tc>
        <w:tc>
          <w:tcPr>
            <w:tcW w:w="2655" w:type="dxa"/>
            <w:shd w:val="clear" w:color="auto" w:fill="DBE5F1" w:themeFill="accent1" w:themeFillTint="33"/>
          </w:tcPr>
          <w:p w:rsidR="006F3138" w:rsidRDefault="0042467E" w:rsidP="002B0381">
            <w:r>
              <w:t>902,4</w:t>
            </w:r>
          </w:p>
        </w:tc>
        <w:tc>
          <w:tcPr>
            <w:tcW w:w="2655" w:type="dxa"/>
            <w:shd w:val="clear" w:color="auto" w:fill="DBE5F1" w:themeFill="accent1" w:themeFillTint="33"/>
          </w:tcPr>
          <w:p w:rsidR="006F3138" w:rsidRDefault="0042467E" w:rsidP="002B0381">
            <w:proofErr w:type="gramStart"/>
            <w:r>
              <w:t>-</w:t>
            </w:r>
            <w:proofErr w:type="gramEnd"/>
            <w:r>
              <w:t>96,4</w:t>
            </w:r>
          </w:p>
        </w:tc>
      </w:tr>
    </w:tbl>
    <w:p w:rsidR="00A46CE9" w:rsidRDefault="00AC01E7" w:rsidP="000C0504">
      <w:pPr>
        <w:spacing w:after="120" w:line="240" w:lineRule="auto"/>
      </w:pPr>
      <w:r>
        <w:t>Nämnden har ökat sitt underskott under året till en budgetavvikelse på 96</w:t>
      </w:r>
      <w:r w:rsidR="00B1499F">
        <w:t>,4</w:t>
      </w:r>
      <w:r>
        <w:t xml:space="preserve"> mnkr. Främsta orsaken är höga placeringskostnader för barn och unga och för vuxna, totalt </w:t>
      </w:r>
      <w:r w:rsidR="00D0012A">
        <w:t>ett underskott</w:t>
      </w:r>
      <w:r>
        <w:t xml:space="preserve"> på 59 mnkr. Våld i nära relation</w:t>
      </w:r>
      <w:r w:rsidR="00E11EC0">
        <w:t>er</w:t>
      </w:r>
      <w:r>
        <w:t xml:space="preserve"> har </w:t>
      </w:r>
      <w:r w:rsidR="00B1499F">
        <w:t xml:space="preserve">höga placeringskostnader med ett underskott </w:t>
      </w:r>
      <w:r>
        <w:t xml:space="preserve">på 35 mnkr. </w:t>
      </w:r>
      <w:r w:rsidR="00D0012A">
        <w:t>I</w:t>
      </w:r>
      <w:r w:rsidR="000C0504">
        <w:t xml:space="preserve">nhyrda socionomer en längre tid på grund av svårigheter att rekrytera </w:t>
      </w:r>
      <w:r w:rsidR="00D0012A">
        <w:t>har</w:t>
      </w:r>
      <w:r w:rsidR="000C0504">
        <w:t xml:space="preserve"> gett ett underskott på 25 mnkr. Ekonomiskt bistånd, samt flyktingverksamheten visar ett budgetöverskott som till viss del minskar det totala underskottet. En rad åtgärder pågår för att få en långsiktig hållbar ekonomi inom nämndens verksamheter. Det gäller till exempel att kunna erbjuda attraktiva arbeten för att locka rätt kompete</w:t>
      </w:r>
      <w:r w:rsidR="00E11EC0">
        <w:t>ns och bryta beroendet av konsul</w:t>
      </w:r>
      <w:r w:rsidR="000C0504">
        <w:t xml:space="preserve">ter, organisatoriska förändringar för att ändra utredningsarbetet med syfte att förkorta placeringslängd, att aktivt jobba med placeringarna för att snabbare flytta personer till mindre kostsamma åtgärder, ha ett eget lågtröskelboende istället för att köpa externa platser med mera. </w:t>
      </w:r>
      <w:r w:rsidR="000C0504">
        <w:tab/>
      </w:r>
    </w:p>
    <w:p w:rsidR="00A46CE9" w:rsidRDefault="00A46CE9" w:rsidP="006F3138">
      <w:pPr>
        <w:pStyle w:val="Rubrik2"/>
      </w:pPr>
      <w:r>
        <w:t xml:space="preserve">Nämnden </w:t>
      </w:r>
      <w:r w:rsidR="00B1499F">
        <w:t>för personer med funktionsnedsättning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7638C4">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6F3138" w:rsidP="002B0381">
            <w:r>
              <w:t>Utfall</w:t>
            </w:r>
          </w:p>
        </w:tc>
        <w:tc>
          <w:tcPr>
            <w:tcW w:w="2655" w:type="dxa"/>
            <w:shd w:val="clear" w:color="auto" w:fill="DBE5F1" w:themeFill="accent1" w:themeFillTint="33"/>
          </w:tcPr>
          <w:p w:rsidR="006F3138" w:rsidRDefault="006F3138" w:rsidP="002B0381">
            <w:r>
              <w:t>Avvikelse</w:t>
            </w:r>
          </w:p>
        </w:tc>
      </w:tr>
      <w:tr w:rsidR="006F3138" w:rsidTr="007638C4">
        <w:tc>
          <w:tcPr>
            <w:tcW w:w="2654" w:type="dxa"/>
            <w:shd w:val="clear" w:color="auto" w:fill="DBE5F1" w:themeFill="accent1" w:themeFillTint="33"/>
          </w:tcPr>
          <w:p w:rsidR="006F3138" w:rsidRDefault="0042467E" w:rsidP="002B0381">
            <w:r>
              <w:t>784,8</w:t>
            </w:r>
          </w:p>
        </w:tc>
        <w:tc>
          <w:tcPr>
            <w:tcW w:w="2655" w:type="dxa"/>
            <w:shd w:val="clear" w:color="auto" w:fill="DBE5F1" w:themeFill="accent1" w:themeFillTint="33"/>
          </w:tcPr>
          <w:p w:rsidR="006F3138" w:rsidRDefault="0042467E" w:rsidP="002B0381">
            <w:r>
              <w:t>815,1</w:t>
            </w:r>
          </w:p>
        </w:tc>
        <w:tc>
          <w:tcPr>
            <w:tcW w:w="2655" w:type="dxa"/>
            <w:shd w:val="clear" w:color="auto" w:fill="DBE5F1" w:themeFill="accent1" w:themeFillTint="33"/>
          </w:tcPr>
          <w:p w:rsidR="006F3138" w:rsidRDefault="0042467E" w:rsidP="002B0381">
            <w:proofErr w:type="gramStart"/>
            <w:r>
              <w:t>-</w:t>
            </w:r>
            <w:proofErr w:type="gramEnd"/>
            <w:r>
              <w:t>30,3</w:t>
            </w:r>
          </w:p>
        </w:tc>
      </w:tr>
    </w:tbl>
    <w:p w:rsidR="008E1F08" w:rsidRDefault="008E1F08" w:rsidP="00F6473C">
      <w:pPr>
        <w:spacing w:after="120" w:line="240" w:lineRule="auto"/>
      </w:pPr>
      <w:r>
        <w:t xml:space="preserve">Nämnden gör ett större underskott </w:t>
      </w:r>
      <w:r w:rsidR="0090061A">
        <w:t>för</w:t>
      </w:r>
      <w:r>
        <w:t xml:space="preserve"> verksamheter inom LSS-lagstiftningen. </w:t>
      </w:r>
      <w:r w:rsidR="00B21339">
        <w:t>B</w:t>
      </w:r>
      <w:r>
        <w:t>udget</w:t>
      </w:r>
      <w:r w:rsidR="00B1499F">
        <w:t>underskott</w:t>
      </w:r>
      <w:r>
        <w:t xml:space="preserve"> </w:t>
      </w:r>
      <w:r w:rsidR="00B21339">
        <w:t xml:space="preserve">finns </w:t>
      </w:r>
      <w:r>
        <w:t xml:space="preserve">inom personlig assistent med 27,4 mnkr, </w:t>
      </w:r>
      <w:r w:rsidR="001356EE">
        <w:t xml:space="preserve">som beror på att antalet personer </w:t>
      </w:r>
      <w:r w:rsidR="00B21339">
        <w:t>och</w:t>
      </w:r>
      <w:r w:rsidR="001356EE">
        <w:t xml:space="preserve"> antal beviljade timmar per person har ökat. Försäkringskassans restriktivare bedömning för personlig assistans, gör att dessa personer vänder sig till kommunen för bedömning av sitt behov. Ä</w:t>
      </w:r>
      <w:r w:rsidR="00F6473C">
        <w:t xml:space="preserve">ven bostäder </w:t>
      </w:r>
      <w:r>
        <w:t xml:space="preserve">inom LSS </w:t>
      </w:r>
      <w:r w:rsidR="00F6473C">
        <w:t>visar ett underskott på</w:t>
      </w:r>
      <w:r>
        <w:t xml:space="preserve"> 10,8 mnkr </w:t>
      </w:r>
      <w:r w:rsidR="00F6473C">
        <w:t xml:space="preserve">då köpta placeringar blivit betydligt dyrare </w:t>
      </w:r>
      <w:r w:rsidR="00E11EC0">
        <w:t>som</w:t>
      </w:r>
      <w:r w:rsidR="00F6473C">
        <w:t xml:space="preserve"> nämnden inte kan tillgodose behoven på hemmaplan för personer med mycket komplexa behov. Verksamheten </w:t>
      </w:r>
      <w:r>
        <w:t xml:space="preserve">avlösarservice </w:t>
      </w:r>
      <w:r w:rsidR="00B1499F">
        <w:t>har en negativ avvikelse</w:t>
      </w:r>
      <w:r>
        <w:t xml:space="preserve"> med 4,4 mnkr </w:t>
      </w:r>
      <w:r w:rsidR="00F6473C">
        <w:t xml:space="preserve">då </w:t>
      </w:r>
      <w:r w:rsidR="00F6473C" w:rsidRPr="00F6473C">
        <w:t xml:space="preserve">insatsen ökat i omfattning. </w:t>
      </w:r>
      <w:r w:rsidR="001356EE" w:rsidRPr="00F6473C">
        <w:t xml:space="preserve"> </w:t>
      </w:r>
      <w:r w:rsidRPr="00F6473C">
        <w:t>Upplösning av projektmedel som inte behöver betalas tillbaka till staten samt mindre överskott inom övriga ve</w:t>
      </w:r>
      <w:r w:rsidR="001356EE" w:rsidRPr="00F6473C">
        <w:t>rksamheter minskar underskottet.</w:t>
      </w:r>
      <w:r w:rsidR="00F6473C">
        <w:t xml:space="preserve"> </w:t>
      </w:r>
    </w:p>
    <w:p w:rsidR="00A46CE9" w:rsidRDefault="00A46CE9" w:rsidP="006F3138">
      <w:pPr>
        <w:pStyle w:val="Rubrik2"/>
      </w:pPr>
      <w:r>
        <w:t>Äldrenämnden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7638C4">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6F3138" w:rsidP="002B0381">
            <w:r>
              <w:t>Utfall</w:t>
            </w:r>
          </w:p>
        </w:tc>
        <w:tc>
          <w:tcPr>
            <w:tcW w:w="2655" w:type="dxa"/>
            <w:shd w:val="clear" w:color="auto" w:fill="DBE5F1" w:themeFill="accent1" w:themeFillTint="33"/>
          </w:tcPr>
          <w:p w:rsidR="006F3138" w:rsidRDefault="006F3138" w:rsidP="002B0381">
            <w:r>
              <w:t>Avvikelse</w:t>
            </w:r>
          </w:p>
        </w:tc>
      </w:tr>
      <w:tr w:rsidR="006F3138" w:rsidTr="007638C4">
        <w:tc>
          <w:tcPr>
            <w:tcW w:w="2654" w:type="dxa"/>
            <w:shd w:val="clear" w:color="auto" w:fill="DBE5F1" w:themeFill="accent1" w:themeFillTint="33"/>
          </w:tcPr>
          <w:p w:rsidR="006F3138" w:rsidRDefault="0042467E" w:rsidP="002B0381">
            <w:r>
              <w:t>1 486,0</w:t>
            </w:r>
          </w:p>
        </w:tc>
        <w:tc>
          <w:tcPr>
            <w:tcW w:w="2655" w:type="dxa"/>
            <w:shd w:val="clear" w:color="auto" w:fill="DBE5F1" w:themeFill="accent1" w:themeFillTint="33"/>
          </w:tcPr>
          <w:p w:rsidR="006F3138" w:rsidRDefault="0042467E" w:rsidP="002B0381">
            <w:r>
              <w:t>1 439,5</w:t>
            </w:r>
          </w:p>
        </w:tc>
        <w:tc>
          <w:tcPr>
            <w:tcW w:w="2655" w:type="dxa"/>
            <w:shd w:val="clear" w:color="auto" w:fill="DBE5F1" w:themeFill="accent1" w:themeFillTint="33"/>
          </w:tcPr>
          <w:p w:rsidR="006F3138" w:rsidRDefault="0042467E" w:rsidP="002B0381">
            <w:r>
              <w:t>46,5</w:t>
            </w:r>
          </w:p>
        </w:tc>
      </w:tr>
    </w:tbl>
    <w:p w:rsidR="006F3138" w:rsidRPr="006F3138" w:rsidRDefault="002D5477" w:rsidP="0086223A">
      <w:pPr>
        <w:spacing w:after="120" w:line="240" w:lineRule="auto"/>
      </w:pPr>
      <w:r>
        <w:t>Antal utförda timmar inom hemtjänsten har minskat under hela året, vilket ger ett överskott mot budgeten på 34</w:t>
      </w:r>
      <w:r w:rsidR="00DA0E71">
        <w:t>,5</w:t>
      </w:r>
      <w:r>
        <w:t xml:space="preserve"> mnkr. En hög beläggningsgrad inom särskilda boenden ihop med en försiktig intäktsbudget gör att </w:t>
      </w:r>
      <w:r w:rsidR="0086223A">
        <w:t>den verksamheten</w:t>
      </w:r>
      <w:r>
        <w:t xml:space="preserve"> visar ett överskott på 7</w:t>
      </w:r>
      <w:r w:rsidR="00DA0E71">
        <w:t>,8</w:t>
      </w:r>
      <w:r>
        <w:t xml:space="preserve"> mnkr. </w:t>
      </w:r>
      <w:r w:rsidR="00DA0E71">
        <w:t xml:space="preserve">Kostnaden för lokalanpassning har en negativ budgetavvikelse med 2,5 mnkr. </w:t>
      </w:r>
      <w:r w:rsidR="00E11EC0">
        <w:t>Ö</w:t>
      </w:r>
      <w:r w:rsidR="0086223A">
        <w:t>verskott finns på grund av o</w:t>
      </w:r>
      <w:r>
        <w:t xml:space="preserve">förbrukade statliga medel utan återbetalningskrav på </w:t>
      </w:r>
      <w:r w:rsidR="0035626D">
        <w:t xml:space="preserve">7 mnkr. </w:t>
      </w:r>
    </w:p>
    <w:p w:rsidR="00A46CE9" w:rsidRDefault="00A46CE9" w:rsidP="006F3138">
      <w:pPr>
        <w:pStyle w:val="Rubrik2"/>
      </w:pPr>
      <w:r>
        <w:lastRenderedPageBreak/>
        <w:t>Tekniska nämnden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7638C4">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6F3138" w:rsidP="002B0381">
            <w:r>
              <w:t>Utfall</w:t>
            </w:r>
          </w:p>
        </w:tc>
        <w:tc>
          <w:tcPr>
            <w:tcW w:w="2655" w:type="dxa"/>
            <w:shd w:val="clear" w:color="auto" w:fill="DBE5F1" w:themeFill="accent1" w:themeFillTint="33"/>
          </w:tcPr>
          <w:p w:rsidR="006F3138" w:rsidRDefault="006F3138" w:rsidP="002B0381">
            <w:r>
              <w:t>Avvikelse</w:t>
            </w:r>
          </w:p>
        </w:tc>
      </w:tr>
      <w:tr w:rsidR="006F3138" w:rsidTr="007638C4">
        <w:tc>
          <w:tcPr>
            <w:tcW w:w="2654" w:type="dxa"/>
            <w:shd w:val="clear" w:color="auto" w:fill="DBE5F1" w:themeFill="accent1" w:themeFillTint="33"/>
          </w:tcPr>
          <w:p w:rsidR="006F3138" w:rsidRDefault="0042467E" w:rsidP="002B0381">
            <w:r>
              <w:t>416,8</w:t>
            </w:r>
          </w:p>
        </w:tc>
        <w:tc>
          <w:tcPr>
            <w:tcW w:w="2655" w:type="dxa"/>
            <w:shd w:val="clear" w:color="auto" w:fill="DBE5F1" w:themeFill="accent1" w:themeFillTint="33"/>
          </w:tcPr>
          <w:p w:rsidR="006F3138" w:rsidRDefault="0042467E" w:rsidP="002B0381">
            <w:r>
              <w:t>412,8</w:t>
            </w:r>
          </w:p>
        </w:tc>
        <w:tc>
          <w:tcPr>
            <w:tcW w:w="2655" w:type="dxa"/>
            <w:shd w:val="clear" w:color="auto" w:fill="DBE5F1" w:themeFill="accent1" w:themeFillTint="33"/>
          </w:tcPr>
          <w:p w:rsidR="006F3138" w:rsidRDefault="0042467E" w:rsidP="002B0381">
            <w:r>
              <w:t>4,0</w:t>
            </w:r>
          </w:p>
        </w:tc>
      </w:tr>
    </w:tbl>
    <w:p w:rsidR="00A46CE9" w:rsidRDefault="00E11EC0" w:rsidP="001F0E9F">
      <w:pPr>
        <w:spacing w:after="120" w:line="240" w:lineRule="auto"/>
      </w:pPr>
      <w:r>
        <w:t>I</w:t>
      </w:r>
      <w:r w:rsidR="006D7373">
        <w:t>nom den fysiska planeringen</w:t>
      </w:r>
      <w:r w:rsidRPr="00E11EC0">
        <w:t xml:space="preserve"> </w:t>
      </w:r>
      <w:r>
        <w:t>blev det ett överskott på 6,1 mnkr, beroende på vakanser</w:t>
      </w:r>
      <w:r w:rsidR="001F0E9F">
        <w:t xml:space="preserve">. </w:t>
      </w:r>
      <w:r w:rsidR="00D0012A">
        <w:t>Den planerade</w:t>
      </w:r>
      <w:r w:rsidR="001F0E9F">
        <w:t xml:space="preserve"> utökning</w:t>
      </w:r>
      <w:r w:rsidR="00D0012A">
        <w:t>en</w:t>
      </w:r>
      <w:r w:rsidR="001F0E9F">
        <w:t xml:space="preserve"> av bussnätet med en linje, som inte har startats, ger ett budgetöverskott på 4,3 mnkr för kollektivtrafiken. Parkverksamheten har gjort vissa tilläggsköp samt akuta åtgärder som gjort att budgeten för den verksamheten visar ett underskott på 3,8 mnkr. Snöröjningen har blivit 3,5 mnkr dyrare. Totalt visar nämnden ett överskott på 4 mnkr mot budget för 2018.</w:t>
      </w:r>
    </w:p>
    <w:p w:rsidR="00A46CE9" w:rsidRDefault="00A46CE9" w:rsidP="006F3138">
      <w:pPr>
        <w:pStyle w:val="Rubrik2"/>
      </w:pPr>
      <w:r>
        <w:t>Kulturnämnden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7638C4">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6F3138" w:rsidP="002B0381">
            <w:r>
              <w:t>Utfall</w:t>
            </w:r>
          </w:p>
        </w:tc>
        <w:tc>
          <w:tcPr>
            <w:tcW w:w="2655" w:type="dxa"/>
            <w:shd w:val="clear" w:color="auto" w:fill="DBE5F1" w:themeFill="accent1" w:themeFillTint="33"/>
          </w:tcPr>
          <w:p w:rsidR="006F3138" w:rsidRDefault="006F3138" w:rsidP="002B0381">
            <w:r>
              <w:t>Avvikelse</w:t>
            </w:r>
          </w:p>
        </w:tc>
      </w:tr>
      <w:tr w:rsidR="006F3138" w:rsidTr="007638C4">
        <w:tc>
          <w:tcPr>
            <w:tcW w:w="2654" w:type="dxa"/>
            <w:shd w:val="clear" w:color="auto" w:fill="DBE5F1" w:themeFill="accent1" w:themeFillTint="33"/>
          </w:tcPr>
          <w:p w:rsidR="006F3138" w:rsidRDefault="0042467E" w:rsidP="002B0381">
            <w:r>
              <w:t>194,2</w:t>
            </w:r>
          </w:p>
        </w:tc>
        <w:tc>
          <w:tcPr>
            <w:tcW w:w="2655" w:type="dxa"/>
            <w:shd w:val="clear" w:color="auto" w:fill="DBE5F1" w:themeFill="accent1" w:themeFillTint="33"/>
          </w:tcPr>
          <w:p w:rsidR="006F3138" w:rsidRDefault="0042467E" w:rsidP="002B0381">
            <w:r>
              <w:t>188,9</w:t>
            </w:r>
          </w:p>
        </w:tc>
        <w:tc>
          <w:tcPr>
            <w:tcW w:w="2655" w:type="dxa"/>
            <w:shd w:val="clear" w:color="auto" w:fill="DBE5F1" w:themeFill="accent1" w:themeFillTint="33"/>
          </w:tcPr>
          <w:p w:rsidR="006F3138" w:rsidRDefault="0042467E" w:rsidP="002B0381">
            <w:r>
              <w:t>5,3</w:t>
            </w:r>
          </w:p>
        </w:tc>
      </w:tr>
    </w:tbl>
    <w:p w:rsidR="006F3138" w:rsidRPr="006F3138" w:rsidRDefault="00C372F5" w:rsidP="00C372F5">
      <w:pPr>
        <w:spacing w:after="120" w:line="240" w:lineRule="auto"/>
      </w:pPr>
      <w:r>
        <w:t xml:space="preserve">Kulturnämnden visar ett överskott mot budget på 5,3 mnkr </w:t>
      </w:r>
      <w:r w:rsidR="000607FF">
        <w:t>varav</w:t>
      </w:r>
      <w:r>
        <w:t xml:space="preserve"> 3,5 mnkr beror på hyresmodellen där Konserthuset kompenseras med faktiska kostnader för ränta och avskrivningar</w:t>
      </w:r>
      <w:r w:rsidR="000607FF">
        <w:t>.</w:t>
      </w:r>
      <w:r>
        <w:t xml:space="preserve"> </w:t>
      </w:r>
      <w:r w:rsidR="000607FF">
        <w:t>B</w:t>
      </w:r>
      <w:r>
        <w:t>udget</w:t>
      </w:r>
      <w:r w:rsidR="000607FF">
        <w:t>en</w:t>
      </w:r>
      <w:r w:rsidR="00D8246D">
        <w:t xml:space="preserve"> byggde på ett högre ränteläge</w:t>
      </w:r>
      <w:r>
        <w:t>. Ytterligare förklaringar till överskottet är vakanser i samband med omorganisation samt att Stadsarkivet inte leveransgodkänt E-arkivet och därmed inte fått kostnader fullt ut jämfört med budgeten.</w:t>
      </w:r>
      <w:r w:rsidR="00B11E18">
        <w:t xml:space="preserve"> Nämnden har även fått del av </w:t>
      </w:r>
      <w:proofErr w:type="spellStart"/>
      <w:r w:rsidR="00B11E18">
        <w:t>Delmos</w:t>
      </w:r>
      <w:proofErr w:type="spellEnd"/>
      <w:r w:rsidR="00B11E18">
        <w:t xml:space="preserve"> medel i slutet av året.</w:t>
      </w:r>
    </w:p>
    <w:p w:rsidR="00A46CE9" w:rsidRDefault="00A46CE9" w:rsidP="006F3138">
      <w:pPr>
        <w:pStyle w:val="Rubrik2"/>
      </w:pPr>
      <w:r>
        <w:t>Nämnden för idrott och friluftsliv</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7638C4">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6F3138" w:rsidP="002B0381">
            <w:r>
              <w:t>Utfall</w:t>
            </w:r>
          </w:p>
        </w:tc>
        <w:tc>
          <w:tcPr>
            <w:tcW w:w="2655" w:type="dxa"/>
            <w:shd w:val="clear" w:color="auto" w:fill="DBE5F1" w:themeFill="accent1" w:themeFillTint="33"/>
          </w:tcPr>
          <w:p w:rsidR="006F3138" w:rsidRDefault="006F3138" w:rsidP="002B0381">
            <w:r>
              <w:t>Avvikelse</w:t>
            </w:r>
          </w:p>
        </w:tc>
      </w:tr>
      <w:tr w:rsidR="006F3138" w:rsidTr="007638C4">
        <w:tc>
          <w:tcPr>
            <w:tcW w:w="2654" w:type="dxa"/>
            <w:shd w:val="clear" w:color="auto" w:fill="DBE5F1" w:themeFill="accent1" w:themeFillTint="33"/>
          </w:tcPr>
          <w:p w:rsidR="006F3138" w:rsidRDefault="0042467E" w:rsidP="002B0381">
            <w:r>
              <w:t>172,1</w:t>
            </w:r>
          </w:p>
        </w:tc>
        <w:tc>
          <w:tcPr>
            <w:tcW w:w="2655" w:type="dxa"/>
            <w:shd w:val="clear" w:color="auto" w:fill="DBE5F1" w:themeFill="accent1" w:themeFillTint="33"/>
          </w:tcPr>
          <w:p w:rsidR="006F3138" w:rsidRDefault="0042467E" w:rsidP="002B0381">
            <w:r>
              <w:t>171,0</w:t>
            </w:r>
          </w:p>
        </w:tc>
        <w:tc>
          <w:tcPr>
            <w:tcW w:w="2655" w:type="dxa"/>
            <w:shd w:val="clear" w:color="auto" w:fill="DBE5F1" w:themeFill="accent1" w:themeFillTint="33"/>
          </w:tcPr>
          <w:p w:rsidR="006F3138" w:rsidRDefault="0042467E" w:rsidP="002B0381">
            <w:r>
              <w:t>1,1</w:t>
            </w:r>
          </w:p>
        </w:tc>
      </w:tr>
    </w:tbl>
    <w:p w:rsidR="00A46CE9" w:rsidRDefault="00FA7DCE" w:rsidP="00FA7DCE">
      <w:pPr>
        <w:spacing w:after="120" w:line="240" w:lineRule="auto"/>
      </w:pPr>
      <w:r>
        <w:t xml:space="preserve">Totalt visar nämnden ett överskott på 1,1 mnkr. Bidraget till Kokpunkten understiger budgeten med 1,8 mnkr medan det har blivit något högre kostnader för en vågholme och elinstallation vid bryggor, samt kostnader för ett nytt bokningssystem. </w:t>
      </w:r>
    </w:p>
    <w:p w:rsidR="00A46CE9" w:rsidRDefault="00A46CE9" w:rsidP="006F3138">
      <w:pPr>
        <w:pStyle w:val="Rubrik2"/>
      </w:pPr>
      <w:r>
        <w:t>Byggnadsnämnden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7638C4">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6F3138" w:rsidP="002B0381">
            <w:r>
              <w:t>Utfall</w:t>
            </w:r>
          </w:p>
        </w:tc>
        <w:tc>
          <w:tcPr>
            <w:tcW w:w="2655" w:type="dxa"/>
            <w:shd w:val="clear" w:color="auto" w:fill="DBE5F1" w:themeFill="accent1" w:themeFillTint="33"/>
          </w:tcPr>
          <w:p w:rsidR="006F3138" w:rsidRDefault="006F3138" w:rsidP="002B0381">
            <w:r>
              <w:t>Avvikelse</w:t>
            </w:r>
          </w:p>
        </w:tc>
      </w:tr>
      <w:tr w:rsidR="006F3138" w:rsidTr="007638C4">
        <w:tc>
          <w:tcPr>
            <w:tcW w:w="2654" w:type="dxa"/>
            <w:shd w:val="clear" w:color="auto" w:fill="DBE5F1" w:themeFill="accent1" w:themeFillTint="33"/>
          </w:tcPr>
          <w:p w:rsidR="006F3138" w:rsidRDefault="0042467E" w:rsidP="002B0381">
            <w:r>
              <w:t>27,6</w:t>
            </w:r>
          </w:p>
        </w:tc>
        <w:tc>
          <w:tcPr>
            <w:tcW w:w="2655" w:type="dxa"/>
            <w:shd w:val="clear" w:color="auto" w:fill="DBE5F1" w:themeFill="accent1" w:themeFillTint="33"/>
          </w:tcPr>
          <w:p w:rsidR="006F3138" w:rsidRDefault="0042467E" w:rsidP="002B0381">
            <w:r>
              <w:t>27,3</w:t>
            </w:r>
          </w:p>
        </w:tc>
        <w:tc>
          <w:tcPr>
            <w:tcW w:w="2655" w:type="dxa"/>
            <w:shd w:val="clear" w:color="auto" w:fill="DBE5F1" w:themeFill="accent1" w:themeFillTint="33"/>
          </w:tcPr>
          <w:p w:rsidR="006F3138" w:rsidRDefault="0042467E" w:rsidP="002B0381">
            <w:r>
              <w:t>0,3</w:t>
            </w:r>
          </w:p>
        </w:tc>
      </w:tr>
    </w:tbl>
    <w:p w:rsidR="00A46CE9" w:rsidRDefault="00D8246D" w:rsidP="00FA7DCE">
      <w:pPr>
        <w:spacing w:after="120" w:line="240" w:lineRule="auto"/>
      </w:pPr>
      <w:r>
        <w:t>Nämnden har klarat ekonomin med ett överskott</w:t>
      </w:r>
      <w:r w:rsidR="00FA7DCE">
        <w:t xml:space="preserve">. Lantmäteriverksamheten visar ett mindre </w:t>
      </w:r>
      <w:r w:rsidR="0003584F">
        <w:t xml:space="preserve">överskott </w:t>
      </w:r>
      <w:r w:rsidR="00FA7DCE">
        <w:t xml:space="preserve">på 1,6 mnkr </w:t>
      </w:r>
      <w:r w:rsidR="0003584F">
        <w:t xml:space="preserve">beroende på </w:t>
      </w:r>
      <w:r w:rsidR="0003584F">
        <w:rPr>
          <w:color w:val="000000"/>
        </w:rPr>
        <w:t>högre intäkter jämfört med budget då en större mängd ärenden än beräknat har kunnat avslutas och faktureras</w:t>
      </w:r>
      <w:r w:rsidR="0003584F">
        <w:t xml:space="preserve"> </w:t>
      </w:r>
      <w:r w:rsidR="00FA7DCE">
        <w:t xml:space="preserve">samtidigt som stadsbyggnadsdelen visar ett </w:t>
      </w:r>
      <w:r w:rsidR="0003584F">
        <w:t xml:space="preserve">underskott </w:t>
      </w:r>
      <w:r w:rsidR="00FA7DCE">
        <w:t>på 1,3 mnkr</w:t>
      </w:r>
      <w:r w:rsidR="0003584F">
        <w:t xml:space="preserve"> på grund av </w:t>
      </w:r>
      <w:r w:rsidR="0003584F">
        <w:rPr>
          <w:color w:val="000000"/>
        </w:rPr>
        <w:t>lägre intäkter än beräknat främst beroende av en sviktande byggkonjunktur och minskad ingång av ärenden i slutet av året</w:t>
      </w:r>
      <w:r w:rsidR="00FA7DCE">
        <w:t>.</w:t>
      </w:r>
    </w:p>
    <w:p w:rsidR="00A46CE9" w:rsidRDefault="00A46CE9" w:rsidP="006F3138">
      <w:pPr>
        <w:pStyle w:val="Rubrik2"/>
      </w:pPr>
      <w:r>
        <w:t>Miljö- och konsumentnämnden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7638C4">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6F3138" w:rsidP="002B0381">
            <w:r>
              <w:t>Utfall</w:t>
            </w:r>
          </w:p>
        </w:tc>
        <w:tc>
          <w:tcPr>
            <w:tcW w:w="2655" w:type="dxa"/>
            <w:shd w:val="clear" w:color="auto" w:fill="DBE5F1" w:themeFill="accent1" w:themeFillTint="33"/>
          </w:tcPr>
          <w:p w:rsidR="006F3138" w:rsidRDefault="006F3138" w:rsidP="002B0381">
            <w:r>
              <w:t>Avvikelse</w:t>
            </w:r>
          </w:p>
        </w:tc>
      </w:tr>
      <w:tr w:rsidR="006F3138" w:rsidTr="007638C4">
        <w:tc>
          <w:tcPr>
            <w:tcW w:w="2654" w:type="dxa"/>
            <w:shd w:val="clear" w:color="auto" w:fill="DBE5F1" w:themeFill="accent1" w:themeFillTint="33"/>
          </w:tcPr>
          <w:p w:rsidR="006F3138" w:rsidRDefault="0042467E" w:rsidP="002B0381">
            <w:r>
              <w:t>21,1</w:t>
            </w:r>
          </w:p>
        </w:tc>
        <w:tc>
          <w:tcPr>
            <w:tcW w:w="2655" w:type="dxa"/>
            <w:shd w:val="clear" w:color="auto" w:fill="DBE5F1" w:themeFill="accent1" w:themeFillTint="33"/>
          </w:tcPr>
          <w:p w:rsidR="006F3138" w:rsidRDefault="0042467E" w:rsidP="002B0381">
            <w:r>
              <w:t>20,4</w:t>
            </w:r>
          </w:p>
        </w:tc>
        <w:tc>
          <w:tcPr>
            <w:tcW w:w="2655" w:type="dxa"/>
            <w:shd w:val="clear" w:color="auto" w:fill="DBE5F1" w:themeFill="accent1" w:themeFillTint="33"/>
          </w:tcPr>
          <w:p w:rsidR="006F3138" w:rsidRDefault="0042467E" w:rsidP="002B0381">
            <w:r>
              <w:t>0,7</w:t>
            </w:r>
          </w:p>
        </w:tc>
      </w:tr>
    </w:tbl>
    <w:p w:rsidR="00A46CE9" w:rsidRDefault="00480660" w:rsidP="00480660">
      <w:pPr>
        <w:spacing w:after="120" w:line="240" w:lineRule="auto"/>
      </w:pPr>
      <w:r>
        <w:t>Nämnden visar ett överskott mot budget, där konsumentrådgivningen visar ett överskott på 0,6 mnkr på grund av vakanser, medan övriga verksamheter har mindre avvikelser vilket gör att nämnden totalt har ett överskott på 0,7 mnkr.</w:t>
      </w:r>
    </w:p>
    <w:p w:rsidR="000607FF" w:rsidRDefault="000607FF">
      <w:pPr>
        <w:tabs>
          <w:tab w:val="clear" w:pos="0"/>
          <w:tab w:val="clear" w:pos="1304"/>
          <w:tab w:val="clear" w:pos="2608"/>
          <w:tab w:val="clear" w:pos="3912"/>
          <w:tab w:val="clear" w:pos="5216"/>
          <w:tab w:val="clear" w:pos="6521"/>
          <w:tab w:val="clear" w:pos="7825"/>
          <w:tab w:val="clear" w:pos="9129"/>
        </w:tabs>
        <w:spacing w:line="240" w:lineRule="auto"/>
        <w:rPr>
          <w:b/>
          <w:caps/>
          <w:sz w:val="25"/>
        </w:rPr>
      </w:pPr>
      <w:r>
        <w:br w:type="page"/>
      </w:r>
    </w:p>
    <w:p w:rsidR="00A46CE9" w:rsidRDefault="00A46CE9" w:rsidP="006F3138">
      <w:pPr>
        <w:pStyle w:val="Rubrik2"/>
      </w:pPr>
      <w:r>
        <w:lastRenderedPageBreak/>
        <w:t>Styrelsen för Västerås stad vård och omsorg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7638C4">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42467E" w:rsidP="002B0381">
            <w:r>
              <w:t>Resultat</w:t>
            </w:r>
          </w:p>
        </w:tc>
        <w:tc>
          <w:tcPr>
            <w:tcW w:w="2655" w:type="dxa"/>
            <w:shd w:val="clear" w:color="auto" w:fill="DBE5F1" w:themeFill="accent1" w:themeFillTint="33"/>
          </w:tcPr>
          <w:p w:rsidR="006F3138" w:rsidRDefault="006F3138" w:rsidP="002B0381">
            <w:r>
              <w:t>Avvikelse</w:t>
            </w:r>
          </w:p>
        </w:tc>
      </w:tr>
      <w:tr w:rsidR="006F3138" w:rsidTr="007638C4">
        <w:tc>
          <w:tcPr>
            <w:tcW w:w="2654" w:type="dxa"/>
            <w:shd w:val="clear" w:color="auto" w:fill="DBE5F1" w:themeFill="accent1" w:themeFillTint="33"/>
          </w:tcPr>
          <w:p w:rsidR="006F3138" w:rsidRDefault="003739AC" w:rsidP="0042467E">
            <w:proofErr w:type="gramStart"/>
            <w:r>
              <w:t>-</w:t>
            </w:r>
            <w:proofErr w:type="gramEnd"/>
            <w:r>
              <w:t>3,7</w:t>
            </w:r>
          </w:p>
        </w:tc>
        <w:tc>
          <w:tcPr>
            <w:tcW w:w="2655" w:type="dxa"/>
            <w:shd w:val="clear" w:color="auto" w:fill="DBE5F1" w:themeFill="accent1" w:themeFillTint="33"/>
          </w:tcPr>
          <w:p w:rsidR="006F3138" w:rsidRDefault="003739AC" w:rsidP="002B0381">
            <w:proofErr w:type="gramStart"/>
            <w:r>
              <w:t>-</w:t>
            </w:r>
            <w:proofErr w:type="gramEnd"/>
            <w:r>
              <w:t>6,6</w:t>
            </w:r>
          </w:p>
        </w:tc>
        <w:tc>
          <w:tcPr>
            <w:tcW w:w="2655" w:type="dxa"/>
            <w:shd w:val="clear" w:color="auto" w:fill="DBE5F1" w:themeFill="accent1" w:themeFillTint="33"/>
          </w:tcPr>
          <w:p w:rsidR="006F3138" w:rsidRDefault="003739AC" w:rsidP="002B0381">
            <w:proofErr w:type="gramStart"/>
            <w:r>
              <w:t>-</w:t>
            </w:r>
            <w:proofErr w:type="gramEnd"/>
            <w:r>
              <w:t>2,9</w:t>
            </w:r>
          </w:p>
        </w:tc>
      </w:tr>
    </w:tbl>
    <w:p w:rsidR="00A46CE9" w:rsidRDefault="003739AC" w:rsidP="00A973AF">
      <w:pPr>
        <w:spacing w:after="120" w:line="240" w:lineRule="auto"/>
      </w:pPr>
      <w:r>
        <w:t xml:space="preserve">Hemtjänst, boendestöd och hemsjukvård har tappat i effektivitet då de debiterade timmarna sjunkit i förhållande till arbetade timmar. Området visar ett underskott mot budget på 33 mnkr. Orsakerna beror delvis på att privata utförare avsagt sig natt och landsbygd, </w:t>
      </w:r>
      <w:r w:rsidR="00A973AF">
        <w:t>som trots en ny ersättningsmodell</w:t>
      </w:r>
      <w:r w:rsidR="00B1499F">
        <w:t>,</w:t>
      </w:r>
      <w:r w:rsidR="00A973AF">
        <w:t xml:space="preserve"> är svåra att få ekonomi i på grund av långa ledtider och</w:t>
      </w:r>
      <w:r w:rsidR="0039676C">
        <w:t>/eller</w:t>
      </w:r>
      <w:r w:rsidR="00A973AF">
        <w:t xml:space="preserve"> korta insatser. Servicehem, korttidsboende och insatser för funktionshindrade visar alla ett positivt resultat som balanserar det mesta av underskottet inom hemtjänstområdet.</w:t>
      </w:r>
    </w:p>
    <w:p w:rsidR="00A46CE9" w:rsidRDefault="00A46CE9" w:rsidP="006F3138">
      <w:pPr>
        <w:pStyle w:val="Rubrik2"/>
      </w:pPr>
      <w:r>
        <w:t>Skultuna kommundelsnämnd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7638C4">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6F3138" w:rsidP="002B0381">
            <w:r>
              <w:t>Utfall</w:t>
            </w:r>
          </w:p>
        </w:tc>
        <w:tc>
          <w:tcPr>
            <w:tcW w:w="2655" w:type="dxa"/>
            <w:shd w:val="clear" w:color="auto" w:fill="DBE5F1" w:themeFill="accent1" w:themeFillTint="33"/>
          </w:tcPr>
          <w:p w:rsidR="006F3138" w:rsidRDefault="006F3138" w:rsidP="002B0381">
            <w:r>
              <w:t>Avvikelse</w:t>
            </w:r>
          </w:p>
        </w:tc>
      </w:tr>
      <w:tr w:rsidR="006F3138" w:rsidTr="007638C4">
        <w:tc>
          <w:tcPr>
            <w:tcW w:w="2654" w:type="dxa"/>
            <w:shd w:val="clear" w:color="auto" w:fill="DBE5F1" w:themeFill="accent1" w:themeFillTint="33"/>
          </w:tcPr>
          <w:p w:rsidR="006F3138" w:rsidRDefault="0042467E" w:rsidP="002B0381">
            <w:r>
              <w:t>113,5</w:t>
            </w:r>
          </w:p>
        </w:tc>
        <w:tc>
          <w:tcPr>
            <w:tcW w:w="2655" w:type="dxa"/>
            <w:shd w:val="clear" w:color="auto" w:fill="DBE5F1" w:themeFill="accent1" w:themeFillTint="33"/>
          </w:tcPr>
          <w:p w:rsidR="006F3138" w:rsidRDefault="0042467E" w:rsidP="002B0381">
            <w:r>
              <w:t>114,1</w:t>
            </w:r>
          </w:p>
        </w:tc>
        <w:tc>
          <w:tcPr>
            <w:tcW w:w="2655" w:type="dxa"/>
            <w:shd w:val="clear" w:color="auto" w:fill="DBE5F1" w:themeFill="accent1" w:themeFillTint="33"/>
          </w:tcPr>
          <w:p w:rsidR="006F3138" w:rsidRDefault="0042467E" w:rsidP="002B0381">
            <w:proofErr w:type="gramStart"/>
            <w:r>
              <w:t>-</w:t>
            </w:r>
            <w:proofErr w:type="gramEnd"/>
            <w:r>
              <w:t>0,6</w:t>
            </w:r>
          </w:p>
        </w:tc>
      </w:tr>
    </w:tbl>
    <w:p w:rsidR="00A46CE9" w:rsidRDefault="002206D6" w:rsidP="002206D6">
      <w:pPr>
        <w:spacing w:line="240" w:lineRule="auto"/>
      </w:pPr>
      <w:r>
        <w:t>Skultuna lämnar ett mindre underskott mot budget 2018. Obalanser finns inom äldreomsorgen där hemtjänsten inte får ekonomi</w:t>
      </w:r>
      <w:r w:rsidR="00D8246D">
        <w:t>n</w:t>
      </w:r>
      <w:r>
        <w:t xml:space="preserve"> i balans. Antalet timmar har varit lägre än budget, men personalkostnaderna </w:t>
      </w:r>
      <w:r w:rsidR="00D8246D">
        <w:t>trots det</w:t>
      </w:r>
      <w:r>
        <w:t xml:space="preserve"> högre. Utebliven ersättning för avböjda besök är en orsak till underskottet. Höga kostnader för bemanningssjuksköterskor har gjort att särskilda boenden inte har en ekonomi i balans. Inom de pedagogiska verksamheterna har åk 5-9 ett större underskott bland annat på grund av omställning när språkintroduktionsprogrammet lades ner. Övriga verksamheters överskott liksom en försiktighet i kostnader och vikarietillsättning under hösten gör att underskottet stannar på -0,6 mnkr.</w:t>
      </w:r>
    </w:p>
    <w:p w:rsidR="002206D6" w:rsidRDefault="002206D6" w:rsidP="002206D6">
      <w:pPr>
        <w:spacing w:line="240" w:lineRule="auto"/>
      </w:pPr>
    </w:p>
    <w:p w:rsidR="00A46CE9" w:rsidRDefault="00A46CE9" w:rsidP="006F3138">
      <w:pPr>
        <w:pStyle w:val="Rubrik2"/>
      </w:pPr>
      <w:r>
        <w:t>Kommunstyrelse och kommunfullmäktige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7638C4">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6F3138" w:rsidP="002B0381">
            <w:r>
              <w:t>Utfall</w:t>
            </w:r>
          </w:p>
        </w:tc>
        <w:tc>
          <w:tcPr>
            <w:tcW w:w="2655" w:type="dxa"/>
            <w:shd w:val="clear" w:color="auto" w:fill="DBE5F1" w:themeFill="accent1" w:themeFillTint="33"/>
          </w:tcPr>
          <w:p w:rsidR="006F3138" w:rsidRDefault="006F3138" w:rsidP="002B0381">
            <w:r>
              <w:t>Avvikelse</w:t>
            </w:r>
          </w:p>
        </w:tc>
      </w:tr>
      <w:tr w:rsidR="006F3138" w:rsidTr="007638C4">
        <w:tc>
          <w:tcPr>
            <w:tcW w:w="2654" w:type="dxa"/>
            <w:shd w:val="clear" w:color="auto" w:fill="DBE5F1" w:themeFill="accent1" w:themeFillTint="33"/>
          </w:tcPr>
          <w:p w:rsidR="006F3138" w:rsidRDefault="0042467E" w:rsidP="002B0381">
            <w:r>
              <w:t>220,9</w:t>
            </w:r>
          </w:p>
        </w:tc>
        <w:tc>
          <w:tcPr>
            <w:tcW w:w="2655" w:type="dxa"/>
            <w:shd w:val="clear" w:color="auto" w:fill="DBE5F1" w:themeFill="accent1" w:themeFillTint="33"/>
          </w:tcPr>
          <w:p w:rsidR="006F3138" w:rsidRDefault="00651F6D" w:rsidP="00651F6D">
            <w:r>
              <w:t>209</w:t>
            </w:r>
            <w:r w:rsidR="0042467E">
              <w:t>,5</w:t>
            </w:r>
          </w:p>
        </w:tc>
        <w:tc>
          <w:tcPr>
            <w:tcW w:w="2655" w:type="dxa"/>
            <w:shd w:val="clear" w:color="auto" w:fill="DBE5F1" w:themeFill="accent1" w:themeFillTint="33"/>
          </w:tcPr>
          <w:p w:rsidR="006F3138" w:rsidRDefault="00651F6D" w:rsidP="002B0381">
            <w:r>
              <w:t>11</w:t>
            </w:r>
            <w:r w:rsidR="0042467E">
              <w:t>,4</w:t>
            </w:r>
          </w:p>
        </w:tc>
      </w:tr>
    </w:tbl>
    <w:p w:rsidR="00A46CE9" w:rsidRDefault="00651F6D" w:rsidP="000A2AE2">
      <w:pPr>
        <w:spacing w:after="120" w:line="240" w:lineRule="auto"/>
      </w:pPr>
      <w:r>
        <w:t xml:space="preserve">Kommunstyrelse med stadsledningskontoret har överskott </w:t>
      </w:r>
      <w:r w:rsidR="000A2AE2">
        <w:t>på 11, 4 mnkr mot budget beroende på lägre kostnader för arbetsmarknadspolitiska åtgärder, vakanta tjänster och överskott på vissa projektmedel. Förvaltningen har tagit del av byggbonusmedel för en tjänst som bostadsstrateg.</w:t>
      </w:r>
    </w:p>
    <w:p w:rsidR="00A46CE9" w:rsidRDefault="00A46CE9" w:rsidP="006F3138">
      <w:pPr>
        <w:pStyle w:val="Rubrik2"/>
      </w:pPr>
      <w:r>
        <w:t>Kommunrevision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7638C4">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6F3138" w:rsidP="002B0381">
            <w:r>
              <w:t>Utfall</w:t>
            </w:r>
          </w:p>
        </w:tc>
        <w:tc>
          <w:tcPr>
            <w:tcW w:w="2655" w:type="dxa"/>
            <w:shd w:val="clear" w:color="auto" w:fill="DBE5F1" w:themeFill="accent1" w:themeFillTint="33"/>
          </w:tcPr>
          <w:p w:rsidR="006F3138" w:rsidRDefault="006F3138" w:rsidP="002B0381">
            <w:r>
              <w:t>Avvikelse</w:t>
            </w:r>
          </w:p>
        </w:tc>
      </w:tr>
      <w:tr w:rsidR="006F3138" w:rsidTr="007638C4">
        <w:tc>
          <w:tcPr>
            <w:tcW w:w="2654" w:type="dxa"/>
            <w:shd w:val="clear" w:color="auto" w:fill="DBE5F1" w:themeFill="accent1" w:themeFillTint="33"/>
          </w:tcPr>
          <w:p w:rsidR="006F3138" w:rsidRDefault="0042467E" w:rsidP="002B0381">
            <w:r>
              <w:t>3,8</w:t>
            </w:r>
          </w:p>
        </w:tc>
        <w:tc>
          <w:tcPr>
            <w:tcW w:w="2655" w:type="dxa"/>
            <w:shd w:val="clear" w:color="auto" w:fill="DBE5F1" w:themeFill="accent1" w:themeFillTint="33"/>
          </w:tcPr>
          <w:p w:rsidR="006F3138" w:rsidRDefault="0042467E" w:rsidP="002B0381">
            <w:r>
              <w:t>3,5</w:t>
            </w:r>
          </w:p>
        </w:tc>
        <w:tc>
          <w:tcPr>
            <w:tcW w:w="2655" w:type="dxa"/>
            <w:shd w:val="clear" w:color="auto" w:fill="DBE5F1" w:themeFill="accent1" w:themeFillTint="33"/>
          </w:tcPr>
          <w:p w:rsidR="006F3138" w:rsidRDefault="0042467E" w:rsidP="002B0381">
            <w:r>
              <w:t>0,3</w:t>
            </w:r>
          </w:p>
        </w:tc>
      </w:tr>
    </w:tbl>
    <w:p w:rsidR="00A46CE9" w:rsidRDefault="00417A30" w:rsidP="00417A30">
      <w:pPr>
        <w:spacing w:after="120" w:line="240" w:lineRule="auto"/>
      </w:pPr>
      <w:r>
        <w:t xml:space="preserve">Lägre arvoden och lägre kostnader för utbildning i kombination med en ökad sparsamhet </w:t>
      </w:r>
      <w:r w:rsidR="00D0012A">
        <w:t>medför</w:t>
      </w:r>
      <w:r>
        <w:t xml:space="preserve"> att kommunrevisionen får ett övers</w:t>
      </w:r>
      <w:r w:rsidR="00D8246D">
        <w:t>kott mot budget på 0,3 mnkr</w:t>
      </w:r>
      <w:r>
        <w:t>.</w:t>
      </w:r>
    </w:p>
    <w:p w:rsidR="00A46CE9" w:rsidRDefault="00A46CE9" w:rsidP="006F3138">
      <w:pPr>
        <w:pStyle w:val="Rubrik2"/>
      </w:pPr>
      <w:r>
        <w:t>Överförmyndarnämnden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7638C4">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6F3138" w:rsidP="002B0381">
            <w:r>
              <w:t>Utfall</w:t>
            </w:r>
          </w:p>
        </w:tc>
        <w:tc>
          <w:tcPr>
            <w:tcW w:w="2655" w:type="dxa"/>
            <w:shd w:val="clear" w:color="auto" w:fill="DBE5F1" w:themeFill="accent1" w:themeFillTint="33"/>
          </w:tcPr>
          <w:p w:rsidR="006F3138" w:rsidRDefault="006F3138" w:rsidP="002B0381">
            <w:r>
              <w:t>Avvikelse</w:t>
            </w:r>
          </w:p>
        </w:tc>
      </w:tr>
      <w:tr w:rsidR="006F3138" w:rsidTr="007638C4">
        <w:tc>
          <w:tcPr>
            <w:tcW w:w="2654" w:type="dxa"/>
            <w:shd w:val="clear" w:color="auto" w:fill="DBE5F1" w:themeFill="accent1" w:themeFillTint="33"/>
          </w:tcPr>
          <w:p w:rsidR="006F3138" w:rsidRDefault="0042467E" w:rsidP="002B0381">
            <w:r>
              <w:t>12,5</w:t>
            </w:r>
          </w:p>
        </w:tc>
        <w:tc>
          <w:tcPr>
            <w:tcW w:w="2655" w:type="dxa"/>
            <w:shd w:val="clear" w:color="auto" w:fill="DBE5F1" w:themeFill="accent1" w:themeFillTint="33"/>
          </w:tcPr>
          <w:p w:rsidR="006F3138" w:rsidRDefault="0042467E" w:rsidP="002B0381">
            <w:r>
              <w:t>9,3</w:t>
            </w:r>
          </w:p>
        </w:tc>
        <w:tc>
          <w:tcPr>
            <w:tcW w:w="2655" w:type="dxa"/>
            <w:shd w:val="clear" w:color="auto" w:fill="DBE5F1" w:themeFill="accent1" w:themeFillTint="33"/>
          </w:tcPr>
          <w:p w:rsidR="006F3138" w:rsidRDefault="0042467E" w:rsidP="002B0381">
            <w:r>
              <w:t>3,2</w:t>
            </w:r>
          </w:p>
        </w:tc>
      </w:tr>
    </w:tbl>
    <w:p w:rsidR="008E6579" w:rsidRDefault="008E6579" w:rsidP="008E6579">
      <w:pPr>
        <w:spacing w:after="120" w:line="240" w:lineRule="auto"/>
      </w:pPr>
      <w:r>
        <w:t>L</w:t>
      </w:r>
      <w:r w:rsidRPr="000A2AE2">
        <w:t>agstiftningen som reglerar ersättning för go</w:t>
      </w:r>
      <w:r>
        <w:t xml:space="preserve">de män till ensamkommande barn har ändrats och </w:t>
      </w:r>
      <w:r w:rsidRPr="000A2AE2">
        <w:t xml:space="preserve">överförmyndarnämnden </w:t>
      </w:r>
      <w:r>
        <w:t xml:space="preserve">kunde </w:t>
      </w:r>
      <w:proofErr w:type="spellStart"/>
      <w:r>
        <w:t>åter</w:t>
      </w:r>
      <w:r w:rsidRPr="000A2AE2">
        <w:t>söka</w:t>
      </w:r>
      <w:proofErr w:type="spellEnd"/>
      <w:r w:rsidRPr="000A2AE2">
        <w:t xml:space="preserve"> kost</w:t>
      </w:r>
      <w:r>
        <w:t>nader fram till 2017 från M</w:t>
      </w:r>
      <w:r w:rsidRPr="000A2AE2">
        <w:t>igrationsverket</w:t>
      </w:r>
      <w:r w:rsidR="00D8246D">
        <w:t>. K</w:t>
      </w:r>
      <w:r>
        <w:t>ostnadskompensationen utföll</w:t>
      </w:r>
      <w:r w:rsidRPr="000A2AE2">
        <w:t xml:space="preserve"> 2018</w:t>
      </w:r>
      <w:r>
        <w:t xml:space="preserve"> med 1,5 mnkr. Under året har nämnden fått del av medel för ensamkommande från individ- och familjenämnden, vilket är en intäkt som inte kommer att finnas under 2019. Nämnden gör därför ett överskott mot budget på 3,2 mnkr.</w:t>
      </w:r>
    </w:p>
    <w:p w:rsidR="00A46CE9" w:rsidRDefault="00A46CE9" w:rsidP="006F3138">
      <w:pPr>
        <w:pStyle w:val="Rubrik2"/>
      </w:pPr>
      <w:r>
        <w:lastRenderedPageBreak/>
        <w:t>Valnämnden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7638C4">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6F3138" w:rsidP="002B0381">
            <w:r>
              <w:t>Utfall</w:t>
            </w:r>
          </w:p>
        </w:tc>
        <w:tc>
          <w:tcPr>
            <w:tcW w:w="2655" w:type="dxa"/>
            <w:shd w:val="clear" w:color="auto" w:fill="DBE5F1" w:themeFill="accent1" w:themeFillTint="33"/>
          </w:tcPr>
          <w:p w:rsidR="006F3138" w:rsidRDefault="006F3138" w:rsidP="002B0381">
            <w:r>
              <w:t>Avvikelse</w:t>
            </w:r>
          </w:p>
        </w:tc>
      </w:tr>
      <w:tr w:rsidR="006F3138" w:rsidTr="007638C4">
        <w:tc>
          <w:tcPr>
            <w:tcW w:w="2654" w:type="dxa"/>
            <w:shd w:val="clear" w:color="auto" w:fill="DBE5F1" w:themeFill="accent1" w:themeFillTint="33"/>
          </w:tcPr>
          <w:p w:rsidR="006F3138" w:rsidRDefault="0042467E" w:rsidP="002B0381">
            <w:r>
              <w:t>6,5</w:t>
            </w:r>
          </w:p>
        </w:tc>
        <w:tc>
          <w:tcPr>
            <w:tcW w:w="2655" w:type="dxa"/>
            <w:shd w:val="clear" w:color="auto" w:fill="DBE5F1" w:themeFill="accent1" w:themeFillTint="33"/>
          </w:tcPr>
          <w:p w:rsidR="006F3138" w:rsidRDefault="0042467E" w:rsidP="002B0381">
            <w:r>
              <w:t>6,8</w:t>
            </w:r>
          </w:p>
        </w:tc>
        <w:tc>
          <w:tcPr>
            <w:tcW w:w="2655" w:type="dxa"/>
            <w:shd w:val="clear" w:color="auto" w:fill="DBE5F1" w:themeFill="accent1" w:themeFillTint="33"/>
          </w:tcPr>
          <w:p w:rsidR="006F3138" w:rsidRDefault="0042467E" w:rsidP="002B0381">
            <w:proofErr w:type="gramStart"/>
            <w:r>
              <w:t>-</w:t>
            </w:r>
            <w:proofErr w:type="gramEnd"/>
            <w:r>
              <w:t>0,3</w:t>
            </w:r>
          </w:p>
        </w:tc>
      </w:tr>
    </w:tbl>
    <w:p w:rsidR="00621892" w:rsidRDefault="00717807" w:rsidP="003337B9">
      <w:pPr>
        <w:spacing w:after="120" w:line="240" w:lineRule="auto"/>
        <w:rPr>
          <w:b/>
          <w:caps/>
          <w:sz w:val="25"/>
        </w:rPr>
      </w:pPr>
      <w:r>
        <w:t>Valnämnden har en utöka</w:t>
      </w:r>
      <w:r w:rsidR="00B1499F">
        <w:t>d</w:t>
      </w:r>
      <w:r>
        <w:t xml:space="preserve"> budget för valåret 2018, men har ändå ett lite högre kostnadsläge för fler arbetade timmar och för </w:t>
      </w:r>
      <w:r w:rsidR="00B1499F">
        <w:t>postgång</w:t>
      </w:r>
      <w:r w:rsidR="009F78FD">
        <w:t>, reklam, säkerhet och lokaler i samband med valet i september. Avvikelsen blev 0,3 mnkr mot budget.</w:t>
      </w:r>
    </w:p>
    <w:p w:rsidR="00A46CE9" w:rsidRDefault="00A46CE9" w:rsidP="006F3138">
      <w:pPr>
        <w:pStyle w:val="Rubrik2"/>
      </w:pPr>
      <w:r>
        <w:t>Styrelsen för konsult och service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7638C4">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42467E" w:rsidP="002B0381">
            <w:r>
              <w:t>Resultat</w:t>
            </w:r>
          </w:p>
        </w:tc>
        <w:tc>
          <w:tcPr>
            <w:tcW w:w="2655" w:type="dxa"/>
            <w:shd w:val="clear" w:color="auto" w:fill="DBE5F1" w:themeFill="accent1" w:themeFillTint="33"/>
          </w:tcPr>
          <w:p w:rsidR="006F3138" w:rsidRDefault="006F3138" w:rsidP="002B0381">
            <w:r>
              <w:t>Avvikelse</w:t>
            </w:r>
          </w:p>
        </w:tc>
      </w:tr>
      <w:tr w:rsidR="006F3138" w:rsidTr="007638C4">
        <w:tc>
          <w:tcPr>
            <w:tcW w:w="2654" w:type="dxa"/>
            <w:shd w:val="clear" w:color="auto" w:fill="DBE5F1" w:themeFill="accent1" w:themeFillTint="33"/>
          </w:tcPr>
          <w:p w:rsidR="006F3138" w:rsidRDefault="0042467E" w:rsidP="002B0381">
            <w:r>
              <w:t>0,0</w:t>
            </w:r>
          </w:p>
        </w:tc>
        <w:tc>
          <w:tcPr>
            <w:tcW w:w="2655" w:type="dxa"/>
            <w:shd w:val="clear" w:color="auto" w:fill="DBE5F1" w:themeFill="accent1" w:themeFillTint="33"/>
          </w:tcPr>
          <w:p w:rsidR="006F3138" w:rsidRDefault="0042467E" w:rsidP="002B0381">
            <w:r>
              <w:t>5,9</w:t>
            </w:r>
          </w:p>
        </w:tc>
        <w:tc>
          <w:tcPr>
            <w:tcW w:w="2655" w:type="dxa"/>
            <w:shd w:val="clear" w:color="auto" w:fill="DBE5F1" w:themeFill="accent1" w:themeFillTint="33"/>
          </w:tcPr>
          <w:p w:rsidR="006F3138" w:rsidRDefault="0042467E" w:rsidP="002B0381">
            <w:r>
              <w:t>5,9</w:t>
            </w:r>
          </w:p>
        </w:tc>
      </w:tr>
    </w:tbl>
    <w:p w:rsidR="00A46CE9" w:rsidRDefault="008E1F08" w:rsidP="00480660">
      <w:pPr>
        <w:spacing w:after="120" w:line="240" w:lineRule="auto"/>
      </w:pPr>
      <w:r>
        <w:t>Konsult och service lämnar ett bokslut med positiva resultat för samtliga verksamhetsdelar. Det rör sig om överskot</w:t>
      </w:r>
      <w:r w:rsidR="00B020D1">
        <w:t>t vid försäljning av fordon</w:t>
      </w:r>
      <w:r>
        <w:t xml:space="preserve">, vakant cheftjänst inom upphandling som inte tillsatts, utebliven upphandling av nytt schema- och bemanningssystem, samt </w:t>
      </w:r>
      <w:r w:rsidR="00B020D1">
        <w:t>lägre konsultkostnader för implementering av nytt e-handelssystem</w:t>
      </w:r>
      <w:r w:rsidR="00B1499F">
        <w:t xml:space="preserve"> bland annat</w:t>
      </w:r>
      <w:r w:rsidR="00B020D1">
        <w:t>.</w:t>
      </w:r>
    </w:p>
    <w:p w:rsidR="00A46CE9" w:rsidRDefault="00A46CE9" w:rsidP="006F3138">
      <w:pPr>
        <w:pStyle w:val="Rubrik2"/>
      </w:pPr>
      <w:r>
        <w:t>Fastighetsnämnden exklusive exploatering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7638C4">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6F3138" w:rsidP="002B0381">
            <w:r>
              <w:t>Utfall</w:t>
            </w:r>
          </w:p>
        </w:tc>
        <w:tc>
          <w:tcPr>
            <w:tcW w:w="2655" w:type="dxa"/>
            <w:shd w:val="clear" w:color="auto" w:fill="DBE5F1" w:themeFill="accent1" w:themeFillTint="33"/>
          </w:tcPr>
          <w:p w:rsidR="006F3138" w:rsidRDefault="006F3138" w:rsidP="002B0381">
            <w:r>
              <w:t>Avvikelse</w:t>
            </w:r>
          </w:p>
        </w:tc>
      </w:tr>
      <w:tr w:rsidR="006F3138" w:rsidTr="007638C4">
        <w:tc>
          <w:tcPr>
            <w:tcW w:w="2654" w:type="dxa"/>
            <w:shd w:val="clear" w:color="auto" w:fill="DBE5F1" w:themeFill="accent1" w:themeFillTint="33"/>
          </w:tcPr>
          <w:p w:rsidR="006F3138" w:rsidRDefault="0042467E" w:rsidP="002B0381">
            <w:r>
              <w:t>5,0</w:t>
            </w:r>
          </w:p>
        </w:tc>
        <w:tc>
          <w:tcPr>
            <w:tcW w:w="2655" w:type="dxa"/>
            <w:shd w:val="clear" w:color="auto" w:fill="DBE5F1" w:themeFill="accent1" w:themeFillTint="33"/>
          </w:tcPr>
          <w:p w:rsidR="006F3138" w:rsidRDefault="0042467E" w:rsidP="002B0381">
            <w:r>
              <w:t>192,9</w:t>
            </w:r>
          </w:p>
          <w:p w:rsidR="0042467E" w:rsidRDefault="0042467E" w:rsidP="00D047B9">
            <w:r>
              <w:t>Varav reavinster 18</w:t>
            </w:r>
            <w:r w:rsidR="00D047B9">
              <w:t>3</w:t>
            </w:r>
          </w:p>
        </w:tc>
        <w:tc>
          <w:tcPr>
            <w:tcW w:w="2655" w:type="dxa"/>
            <w:shd w:val="clear" w:color="auto" w:fill="DBE5F1" w:themeFill="accent1" w:themeFillTint="33"/>
          </w:tcPr>
          <w:p w:rsidR="006F3138" w:rsidRDefault="0042467E" w:rsidP="002B0381">
            <w:r>
              <w:t>187,9</w:t>
            </w:r>
          </w:p>
        </w:tc>
      </w:tr>
    </w:tbl>
    <w:p w:rsidR="0042467E" w:rsidRPr="006F3138" w:rsidRDefault="00D8246D" w:rsidP="00973A4D">
      <w:pPr>
        <w:spacing w:after="120" w:line="240" w:lineRule="auto"/>
      </w:pPr>
      <w:r>
        <w:t>Överskottet</w:t>
      </w:r>
      <w:r w:rsidR="00973A4D">
        <w:t xml:space="preserve"> på fastighetsnämnden på 188 mnkr beror med 18</w:t>
      </w:r>
      <w:r w:rsidR="00D047B9">
        <w:t xml:space="preserve">3 </w:t>
      </w:r>
      <w:r w:rsidR="00973A4D">
        <w:t>mnkr på försäljning av fastigheter. För övrigt är det högre intäkter på grund av nya arrendeavtal inom markförvaltning samt att kostnader för pråmkajen skjuts till 2019. Inom tomträtter är avgälden något högre då det inte friköpts</w:t>
      </w:r>
      <w:r>
        <w:t xml:space="preserve"> </w:t>
      </w:r>
      <w:r w:rsidR="00973A4D">
        <w:t xml:space="preserve">lika många tomträtter som beräknat. </w:t>
      </w:r>
    </w:p>
    <w:p w:rsidR="00A46CE9" w:rsidRDefault="00A46CE9" w:rsidP="006F3138">
      <w:pPr>
        <w:pStyle w:val="Rubrik2"/>
      </w:pPr>
      <w:r>
        <w:t>Fastighetsnämnden exploatering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7638C4">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6F3138" w:rsidP="002B0381">
            <w:r>
              <w:t>Utfall</w:t>
            </w:r>
          </w:p>
        </w:tc>
        <w:tc>
          <w:tcPr>
            <w:tcW w:w="2655" w:type="dxa"/>
            <w:shd w:val="clear" w:color="auto" w:fill="DBE5F1" w:themeFill="accent1" w:themeFillTint="33"/>
          </w:tcPr>
          <w:p w:rsidR="006F3138" w:rsidRDefault="006F3138" w:rsidP="002B0381">
            <w:r>
              <w:t>Avvikelse</w:t>
            </w:r>
          </w:p>
        </w:tc>
      </w:tr>
      <w:tr w:rsidR="006F3138" w:rsidTr="007638C4">
        <w:tc>
          <w:tcPr>
            <w:tcW w:w="2654" w:type="dxa"/>
            <w:shd w:val="clear" w:color="auto" w:fill="DBE5F1" w:themeFill="accent1" w:themeFillTint="33"/>
          </w:tcPr>
          <w:p w:rsidR="006F3138" w:rsidRDefault="0042467E" w:rsidP="002B0381">
            <w:r>
              <w:t>8,5</w:t>
            </w:r>
          </w:p>
        </w:tc>
        <w:tc>
          <w:tcPr>
            <w:tcW w:w="2655" w:type="dxa"/>
            <w:shd w:val="clear" w:color="auto" w:fill="DBE5F1" w:themeFill="accent1" w:themeFillTint="33"/>
          </w:tcPr>
          <w:p w:rsidR="006F3138" w:rsidRDefault="0042467E" w:rsidP="002B0381">
            <w:r>
              <w:t>116,2</w:t>
            </w:r>
          </w:p>
        </w:tc>
        <w:tc>
          <w:tcPr>
            <w:tcW w:w="2655" w:type="dxa"/>
            <w:shd w:val="clear" w:color="auto" w:fill="DBE5F1" w:themeFill="accent1" w:themeFillTint="33"/>
          </w:tcPr>
          <w:p w:rsidR="006F3138" w:rsidRDefault="0042467E" w:rsidP="002B0381">
            <w:r>
              <w:t>107,7</w:t>
            </w:r>
          </w:p>
        </w:tc>
      </w:tr>
    </w:tbl>
    <w:p w:rsidR="00A46CE9" w:rsidRDefault="00973A4D" w:rsidP="00D92FCA">
      <w:pPr>
        <w:spacing w:after="120" w:line="240" w:lineRule="auto"/>
      </w:pPr>
      <w:r>
        <w:t xml:space="preserve">Exploateringsverksamheten visar ett resultat på 116 mnkr. Överskottet mot budgeterad summa finns främst inom projekten Öster Mälarstrand, Lillhamra, Björkskogsgatan, </w:t>
      </w:r>
      <w:r w:rsidR="00D92FCA">
        <w:t xml:space="preserve">Gäddeholm Malmen, Långängarna och förnyelse Bäckby. </w:t>
      </w:r>
    </w:p>
    <w:p w:rsidR="00A46CE9" w:rsidRDefault="00A46CE9" w:rsidP="006F3138">
      <w:pPr>
        <w:pStyle w:val="Rubrik2"/>
      </w:pPr>
      <w:r>
        <w:t>Styrelsen för stöd, fritid och entreprenad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654"/>
        <w:gridCol w:w="2655"/>
        <w:gridCol w:w="2655"/>
      </w:tblGrid>
      <w:tr w:rsidR="006F3138" w:rsidTr="007638C4">
        <w:tc>
          <w:tcPr>
            <w:tcW w:w="2654" w:type="dxa"/>
            <w:shd w:val="clear" w:color="auto" w:fill="DBE5F1" w:themeFill="accent1" w:themeFillTint="33"/>
          </w:tcPr>
          <w:p w:rsidR="006F3138" w:rsidRDefault="006F3138" w:rsidP="002B0381">
            <w:r>
              <w:t>Budget</w:t>
            </w:r>
          </w:p>
        </w:tc>
        <w:tc>
          <w:tcPr>
            <w:tcW w:w="2655" w:type="dxa"/>
            <w:shd w:val="clear" w:color="auto" w:fill="DBE5F1" w:themeFill="accent1" w:themeFillTint="33"/>
          </w:tcPr>
          <w:p w:rsidR="006F3138" w:rsidRDefault="0042467E" w:rsidP="002B0381">
            <w:r>
              <w:t>Resultat</w:t>
            </w:r>
          </w:p>
        </w:tc>
        <w:tc>
          <w:tcPr>
            <w:tcW w:w="2655" w:type="dxa"/>
            <w:shd w:val="clear" w:color="auto" w:fill="DBE5F1" w:themeFill="accent1" w:themeFillTint="33"/>
          </w:tcPr>
          <w:p w:rsidR="006F3138" w:rsidRDefault="006F3138" w:rsidP="002B0381">
            <w:r>
              <w:t>Avvikelse</w:t>
            </w:r>
          </w:p>
        </w:tc>
      </w:tr>
      <w:tr w:rsidR="006F3138" w:rsidTr="007638C4">
        <w:tc>
          <w:tcPr>
            <w:tcW w:w="2654" w:type="dxa"/>
            <w:shd w:val="clear" w:color="auto" w:fill="DBE5F1" w:themeFill="accent1" w:themeFillTint="33"/>
          </w:tcPr>
          <w:p w:rsidR="006F3138" w:rsidRDefault="0042467E" w:rsidP="002B0381">
            <w:proofErr w:type="gramStart"/>
            <w:r>
              <w:t>-</w:t>
            </w:r>
            <w:proofErr w:type="gramEnd"/>
            <w:r>
              <w:t>0,5</w:t>
            </w:r>
          </w:p>
        </w:tc>
        <w:tc>
          <w:tcPr>
            <w:tcW w:w="2655" w:type="dxa"/>
            <w:shd w:val="clear" w:color="auto" w:fill="DBE5F1" w:themeFill="accent1" w:themeFillTint="33"/>
          </w:tcPr>
          <w:p w:rsidR="006F3138" w:rsidRDefault="0042467E" w:rsidP="002B0381">
            <w:r>
              <w:t>4,3</w:t>
            </w:r>
          </w:p>
        </w:tc>
        <w:tc>
          <w:tcPr>
            <w:tcW w:w="2655" w:type="dxa"/>
            <w:shd w:val="clear" w:color="auto" w:fill="DBE5F1" w:themeFill="accent1" w:themeFillTint="33"/>
          </w:tcPr>
          <w:p w:rsidR="006F3138" w:rsidRDefault="0042467E" w:rsidP="002B0381">
            <w:r>
              <w:t>4,8</w:t>
            </w:r>
          </w:p>
        </w:tc>
      </w:tr>
    </w:tbl>
    <w:p w:rsidR="00A46CE9" w:rsidRDefault="00AB3198" w:rsidP="00AB3198">
      <w:pPr>
        <w:spacing w:line="240" w:lineRule="auto"/>
      </w:pPr>
      <w:r>
        <w:t xml:space="preserve">Ett överskott på 4,8 mnkr mot budget beror på sena statsbidrag för </w:t>
      </w:r>
      <w:proofErr w:type="spellStart"/>
      <w:r>
        <w:t>Delmosmedel</w:t>
      </w:r>
      <w:proofErr w:type="spellEnd"/>
      <w:r>
        <w:t>, 1,2 mnkr, lägre personalkostnader på grund av vakanser 2,3 mnkr</w:t>
      </w:r>
      <w:r w:rsidR="00B1499F">
        <w:t>,</w:t>
      </w:r>
      <w:r>
        <w:t xml:space="preserve"> samt sena intäkter för extratjänster 1,3 mnkr. </w:t>
      </w:r>
      <w:r w:rsidR="002C5A4E">
        <w:t>Statsbidrag har sökts under året för befintlig verksamhet och finns därför inte med i budget eller prognoser utan förstärker resultatet i bokslutet.</w:t>
      </w:r>
    </w:p>
    <w:p w:rsidR="00EA3AAE" w:rsidRDefault="00EA3AAE">
      <w:pPr>
        <w:tabs>
          <w:tab w:val="clear" w:pos="0"/>
          <w:tab w:val="clear" w:pos="1304"/>
          <w:tab w:val="clear" w:pos="2608"/>
          <w:tab w:val="clear" w:pos="3912"/>
          <w:tab w:val="clear" w:pos="5216"/>
          <w:tab w:val="clear" w:pos="6521"/>
          <w:tab w:val="clear" w:pos="7825"/>
          <w:tab w:val="clear" w:pos="9129"/>
        </w:tabs>
        <w:spacing w:line="240" w:lineRule="auto"/>
        <w:rPr>
          <w:kern w:val="32"/>
          <w:sz w:val="36"/>
        </w:rPr>
      </w:pPr>
      <w:r>
        <w:br w:type="page"/>
      </w:r>
    </w:p>
    <w:p w:rsidR="00496965" w:rsidRDefault="00496965" w:rsidP="00496965">
      <w:pPr>
        <w:pStyle w:val="Rubrik1"/>
      </w:pPr>
      <w:r>
        <w:lastRenderedPageBreak/>
        <w:t>Investeringar</w:t>
      </w:r>
    </w:p>
    <w:p w:rsidR="00496965" w:rsidRPr="00221463" w:rsidRDefault="00496965" w:rsidP="00496965">
      <w:pPr>
        <w:spacing w:after="120" w:line="240" w:lineRule="auto"/>
      </w:pPr>
      <w:r>
        <w:t>Årets investeringar blev 921 mnkr att jämföra med budgeten på 1 377,5. Utfallet innebär en genomförandegrad på 67 %. Den enskilt största investeringen är nya Lögarängsbadet.</w:t>
      </w:r>
    </w:p>
    <w:tbl>
      <w:tblPr>
        <w:tblW w:w="8160" w:type="dxa"/>
        <w:tblInd w:w="55" w:type="dxa"/>
        <w:tblCellMar>
          <w:left w:w="70" w:type="dxa"/>
          <w:right w:w="70" w:type="dxa"/>
        </w:tblCellMar>
        <w:tblLook w:val="04A0" w:firstRow="1" w:lastRow="0" w:firstColumn="1" w:lastColumn="0" w:noHBand="0" w:noVBand="1"/>
      </w:tblPr>
      <w:tblGrid>
        <w:gridCol w:w="3727"/>
        <w:gridCol w:w="952"/>
        <w:gridCol w:w="956"/>
        <w:gridCol w:w="1005"/>
        <w:gridCol w:w="280"/>
        <w:gridCol w:w="1240"/>
      </w:tblGrid>
      <w:tr w:rsidR="00496965" w:rsidRPr="00222B1E" w:rsidTr="00B002DF">
        <w:trPr>
          <w:trHeight w:val="579"/>
        </w:trPr>
        <w:tc>
          <w:tcPr>
            <w:tcW w:w="3727" w:type="dxa"/>
            <w:tcBorders>
              <w:top w:val="single" w:sz="4" w:space="0" w:color="auto"/>
              <w:left w:val="single" w:sz="4" w:space="0" w:color="auto"/>
              <w:bottom w:val="nil"/>
              <w:right w:val="nil"/>
            </w:tcBorders>
            <w:shd w:val="clear" w:color="000000" w:fill="1F497D"/>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b/>
                <w:bCs/>
                <w:color w:val="FFFFFF"/>
                <w:sz w:val="28"/>
                <w:szCs w:val="28"/>
              </w:rPr>
            </w:pPr>
            <w:r w:rsidRPr="00222B1E">
              <w:rPr>
                <w:b/>
                <w:bCs/>
                <w:color w:val="FFFFFF"/>
                <w:sz w:val="28"/>
                <w:szCs w:val="28"/>
              </w:rPr>
              <w:t>Investeringar</w:t>
            </w:r>
            <w:r>
              <w:rPr>
                <w:b/>
                <w:bCs/>
                <w:color w:val="FFFFFF"/>
                <w:sz w:val="28"/>
                <w:szCs w:val="28"/>
              </w:rPr>
              <w:t>, mnkr</w:t>
            </w:r>
          </w:p>
        </w:tc>
        <w:tc>
          <w:tcPr>
            <w:tcW w:w="952" w:type="dxa"/>
            <w:tcBorders>
              <w:top w:val="single" w:sz="4" w:space="0" w:color="auto"/>
              <w:left w:val="nil"/>
              <w:bottom w:val="nil"/>
              <w:right w:val="nil"/>
            </w:tcBorders>
            <w:shd w:val="clear" w:color="000000" w:fill="1F497D"/>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FFFFFF"/>
                <w:szCs w:val="22"/>
              </w:rPr>
            </w:pPr>
            <w:r w:rsidRPr="00222B1E">
              <w:rPr>
                <w:b/>
                <w:bCs/>
                <w:color w:val="FFFFFF"/>
                <w:szCs w:val="22"/>
              </w:rPr>
              <w:t>Utfall 2018</w:t>
            </w:r>
          </w:p>
        </w:tc>
        <w:tc>
          <w:tcPr>
            <w:tcW w:w="956" w:type="dxa"/>
            <w:tcBorders>
              <w:top w:val="single" w:sz="4" w:space="0" w:color="auto"/>
              <w:left w:val="nil"/>
              <w:bottom w:val="nil"/>
              <w:right w:val="nil"/>
            </w:tcBorders>
            <w:shd w:val="clear" w:color="000000" w:fill="1F497D"/>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FFFFFF"/>
                <w:szCs w:val="22"/>
              </w:rPr>
            </w:pPr>
            <w:r w:rsidRPr="00222B1E">
              <w:rPr>
                <w:b/>
                <w:bCs/>
                <w:color w:val="FFFFFF"/>
                <w:szCs w:val="22"/>
              </w:rPr>
              <w:t>Budget 2018</w:t>
            </w:r>
          </w:p>
        </w:tc>
        <w:tc>
          <w:tcPr>
            <w:tcW w:w="1005" w:type="dxa"/>
            <w:tcBorders>
              <w:top w:val="single" w:sz="4" w:space="0" w:color="auto"/>
              <w:left w:val="nil"/>
              <w:bottom w:val="nil"/>
              <w:right w:val="nil"/>
            </w:tcBorders>
            <w:shd w:val="clear" w:color="000000" w:fill="1F497D"/>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FFFFFF"/>
                <w:szCs w:val="22"/>
              </w:rPr>
            </w:pPr>
            <w:r w:rsidRPr="00222B1E">
              <w:rPr>
                <w:b/>
                <w:bCs/>
                <w:color w:val="FFFFFF"/>
                <w:szCs w:val="22"/>
              </w:rPr>
              <w:t>Avvikelse Utfall-bud</w:t>
            </w:r>
          </w:p>
        </w:tc>
        <w:tc>
          <w:tcPr>
            <w:tcW w:w="280" w:type="dxa"/>
            <w:tcBorders>
              <w:top w:val="single" w:sz="4" w:space="0" w:color="auto"/>
              <w:left w:val="nil"/>
              <w:bottom w:val="nil"/>
              <w:right w:val="nil"/>
            </w:tcBorders>
            <w:shd w:val="clear" w:color="000000" w:fill="1F497D"/>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FFFFFF"/>
                <w:szCs w:val="22"/>
              </w:rPr>
            </w:pPr>
            <w:r w:rsidRPr="00222B1E">
              <w:rPr>
                <w:b/>
                <w:bCs/>
                <w:color w:val="FFFFFF"/>
                <w:szCs w:val="22"/>
              </w:rPr>
              <w:t> </w:t>
            </w:r>
          </w:p>
        </w:tc>
        <w:tc>
          <w:tcPr>
            <w:tcW w:w="1240" w:type="dxa"/>
            <w:tcBorders>
              <w:top w:val="single" w:sz="4" w:space="0" w:color="auto"/>
              <w:left w:val="nil"/>
              <w:bottom w:val="nil"/>
              <w:right w:val="nil"/>
            </w:tcBorders>
            <w:shd w:val="clear" w:color="000000" w:fill="1F497D"/>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FFFFFF"/>
                <w:szCs w:val="22"/>
              </w:rPr>
            </w:pPr>
            <w:r w:rsidRPr="00222B1E">
              <w:rPr>
                <w:b/>
                <w:bCs/>
                <w:color w:val="FFFFFF"/>
                <w:szCs w:val="22"/>
              </w:rPr>
              <w:t>Andel genomförd</w:t>
            </w:r>
          </w:p>
        </w:tc>
      </w:tr>
      <w:tr w:rsidR="00496965" w:rsidRPr="00222B1E" w:rsidTr="00B002DF">
        <w:trPr>
          <w:trHeight w:val="360"/>
        </w:trPr>
        <w:tc>
          <w:tcPr>
            <w:tcW w:w="3727"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222B1E">
              <w:rPr>
                <w:color w:val="000000"/>
                <w:szCs w:val="22"/>
              </w:rPr>
              <w:t xml:space="preserve">Förskolor </w:t>
            </w:r>
          </w:p>
        </w:tc>
        <w:tc>
          <w:tcPr>
            <w:tcW w:w="952"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107,9</w:t>
            </w:r>
          </w:p>
        </w:tc>
        <w:tc>
          <w:tcPr>
            <w:tcW w:w="956"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129,3</w:t>
            </w:r>
          </w:p>
        </w:tc>
        <w:tc>
          <w:tcPr>
            <w:tcW w:w="1005"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21,4</w:t>
            </w:r>
          </w:p>
        </w:tc>
        <w:tc>
          <w:tcPr>
            <w:tcW w:w="28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szCs w:val="22"/>
              </w:rPr>
            </w:pPr>
            <w:proofErr w:type="gramStart"/>
            <w:r w:rsidRPr="00222B1E">
              <w:rPr>
                <w:szCs w:val="22"/>
              </w:rPr>
              <w:t>83%</w:t>
            </w:r>
            <w:proofErr w:type="gramEnd"/>
          </w:p>
        </w:tc>
      </w:tr>
      <w:tr w:rsidR="00496965" w:rsidRPr="00222B1E" w:rsidTr="00B002DF">
        <w:trPr>
          <w:trHeight w:val="288"/>
        </w:trPr>
        <w:tc>
          <w:tcPr>
            <w:tcW w:w="3727"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222B1E">
              <w:rPr>
                <w:color w:val="000000"/>
                <w:szCs w:val="22"/>
              </w:rPr>
              <w:t>Grundskolor</w:t>
            </w:r>
          </w:p>
        </w:tc>
        <w:tc>
          <w:tcPr>
            <w:tcW w:w="952"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127,3</w:t>
            </w:r>
          </w:p>
        </w:tc>
        <w:tc>
          <w:tcPr>
            <w:tcW w:w="956"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198,5</w:t>
            </w:r>
          </w:p>
        </w:tc>
        <w:tc>
          <w:tcPr>
            <w:tcW w:w="1005"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71,2</w:t>
            </w:r>
          </w:p>
        </w:tc>
        <w:tc>
          <w:tcPr>
            <w:tcW w:w="28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szCs w:val="22"/>
              </w:rPr>
            </w:pPr>
            <w:proofErr w:type="gramStart"/>
            <w:r w:rsidRPr="00222B1E">
              <w:rPr>
                <w:szCs w:val="22"/>
              </w:rPr>
              <w:t>64%</w:t>
            </w:r>
            <w:proofErr w:type="gramEnd"/>
          </w:p>
        </w:tc>
      </w:tr>
      <w:tr w:rsidR="00496965" w:rsidRPr="00222B1E" w:rsidTr="00B002DF">
        <w:trPr>
          <w:trHeight w:val="288"/>
        </w:trPr>
        <w:tc>
          <w:tcPr>
            <w:tcW w:w="3727"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222B1E">
              <w:rPr>
                <w:color w:val="000000"/>
                <w:szCs w:val="22"/>
              </w:rPr>
              <w:t>Gymnasieskolor</w:t>
            </w:r>
          </w:p>
        </w:tc>
        <w:tc>
          <w:tcPr>
            <w:tcW w:w="952"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6,3</w:t>
            </w:r>
          </w:p>
        </w:tc>
        <w:tc>
          <w:tcPr>
            <w:tcW w:w="956"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17,0</w:t>
            </w:r>
          </w:p>
        </w:tc>
        <w:tc>
          <w:tcPr>
            <w:tcW w:w="1005"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10,7</w:t>
            </w:r>
          </w:p>
        </w:tc>
        <w:tc>
          <w:tcPr>
            <w:tcW w:w="28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szCs w:val="22"/>
              </w:rPr>
            </w:pPr>
            <w:proofErr w:type="gramStart"/>
            <w:r w:rsidRPr="00222B1E">
              <w:rPr>
                <w:szCs w:val="22"/>
              </w:rPr>
              <w:t>37%</w:t>
            </w:r>
            <w:proofErr w:type="gramEnd"/>
          </w:p>
        </w:tc>
      </w:tr>
      <w:tr w:rsidR="00496965" w:rsidRPr="00222B1E" w:rsidTr="00B002DF">
        <w:trPr>
          <w:trHeight w:val="288"/>
        </w:trPr>
        <w:tc>
          <w:tcPr>
            <w:tcW w:w="3727" w:type="dxa"/>
            <w:tcBorders>
              <w:top w:val="nil"/>
              <w:left w:val="nil"/>
              <w:bottom w:val="nil"/>
              <w:right w:val="nil"/>
            </w:tcBorders>
            <w:shd w:val="clear" w:color="auto" w:fill="auto"/>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222B1E">
              <w:rPr>
                <w:color w:val="000000"/>
                <w:szCs w:val="22"/>
              </w:rPr>
              <w:t>Idrottsfastigheter</w:t>
            </w:r>
          </w:p>
        </w:tc>
        <w:tc>
          <w:tcPr>
            <w:tcW w:w="952" w:type="dxa"/>
            <w:tcBorders>
              <w:top w:val="nil"/>
              <w:left w:val="nil"/>
              <w:bottom w:val="nil"/>
              <w:right w:val="nil"/>
            </w:tcBorders>
            <w:shd w:val="clear" w:color="auto" w:fill="auto"/>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202,0</w:t>
            </w:r>
          </w:p>
        </w:tc>
        <w:tc>
          <w:tcPr>
            <w:tcW w:w="956" w:type="dxa"/>
            <w:tcBorders>
              <w:top w:val="nil"/>
              <w:left w:val="nil"/>
              <w:bottom w:val="nil"/>
              <w:right w:val="nil"/>
            </w:tcBorders>
            <w:shd w:val="clear" w:color="auto" w:fill="auto"/>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190,8</w:t>
            </w:r>
          </w:p>
        </w:tc>
        <w:tc>
          <w:tcPr>
            <w:tcW w:w="1005"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proofErr w:type="gramStart"/>
            <w:r w:rsidRPr="00222B1E">
              <w:rPr>
                <w:color w:val="000000"/>
                <w:szCs w:val="22"/>
              </w:rPr>
              <w:t>-</w:t>
            </w:r>
            <w:proofErr w:type="gramEnd"/>
            <w:r w:rsidRPr="00222B1E">
              <w:rPr>
                <w:color w:val="000000"/>
                <w:szCs w:val="22"/>
              </w:rPr>
              <w:t>11,2</w:t>
            </w:r>
          </w:p>
        </w:tc>
        <w:tc>
          <w:tcPr>
            <w:tcW w:w="28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szCs w:val="22"/>
              </w:rPr>
            </w:pPr>
            <w:proofErr w:type="gramStart"/>
            <w:r w:rsidRPr="00222B1E">
              <w:rPr>
                <w:szCs w:val="22"/>
              </w:rPr>
              <w:t>106%</w:t>
            </w:r>
            <w:proofErr w:type="gramEnd"/>
          </w:p>
        </w:tc>
      </w:tr>
      <w:tr w:rsidR="00496965" w:rsidRPr="00222B1E" w:rsidTr="00B002DF">
        <w:trPr>
          <w:trHeight w:val="288"/>
        </w:trPr>
        <w:tc>
          <w:tcPr>
            <w:tcW w:w="3727" w:type="dxa"/>
            <w:tcBorders>
              <w:top w:val="nil"/>
              <w:left w:val="nil"/>
              <w:bottom w:val="nil"/>
              <w:right w:val="nil"/>
            </w:tcBorders>
            <w:shd w:val="clear" w:color="auto" w:fill="auto"/>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222B1E">
              <w:rPr>
                <w:color w:val="000000"/>
                <w:szCs w:val="22"/>
              </w:rPr>
              <w:t>Boenden</w:t>
            </w:r>
          </w:p>
        </w:tc>
        <w:tc>
          <w:tcPr>
            <w:tcW w:w="952" w:type="dxa"/>
            <w:tcBorders>
              <w:top w:val="nil"/>
              <w:left w:val="nil"/>
              <w:bottom w:val="nil"/>
              <w:right w:val="nil"/>
            </w:tcBorders>
            <w:shd w:val="clear" w:color="auto" w:fill="auto"/>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56,8</w:t>
            </w:r>
          </w:p>
        </w:tc>
        <w:tc>
          <w:tcPr>
            <w:tcW w:w="956" w:type="dxa"/>
            <w:tcBorders>
              <w:top w:val="nil"/>
              <w:left w:val="nil"/>
              <w:bottom w:val="nil"/>
              <w:right w:val="nil"/>
            </w:tcBorders>
            <w:shd w:val="clear" w:color="auto" w:fill="auto"/>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174,1</w:t>
            </w:r>
          </w:p>
        </w:tc>
        <w:tc>
          <w:tcPr>
            <w:tcW w:w="1005"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117,3</w:t>
            </w:r>
          </w:p>
        </w:tc>
        <w:tc>
          <w:tcPr>
            <w:tcW w:w="28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szCs w:val="22"/>
              </w:rPr>
            </w:pPr>
            <w:proofErr w:type="gramStart"/>
            <w:r w:rsidRPr="00222B1E">
              <w:rPr>
                <w:szCs w:val="22"/>
              </w:rPr>
              <w:t>33%</w:t>
            </w:r>
            <w:proofErr w:type="gramEnd"/>
          </w:p>
        </w:tc>
      </w:tr>
      <w:tr w:rsidR="00496965" w:rsidRPr="00222B1E" w:rsidTr="00B002DF">
        <w:trPr>
          <w:trHeight w:val="288"/>
        </w:trPr>
        <w:tc>
          <w:tcPr>
            <w:tcW w:w="3727"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222B1E">
              <w:rPr>
                <w:color w:val="000000"/>
                <w:szCs w:val="22"/>
              </w:rPr>
              <w:t>Hamnen</w:t>
            </w:r>
          </w:p>
        </w:tc>
        <w:tc>
          <w:tcPr>
            <w:tcW w:w="952"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48,4</w:t>
            </w:r>
          </w:p>
        </w:tc>
        <w:tc>
          <w:tcPr>
            <w:tcW w:w="956"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134,0</w:t>
            </w:r>
          </w:p>
        </w:tc>
        <w:tc>
          <w:tcPr>
            <w:tcW w:w="1005"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85,6</w:t>
            </w:r>
          </w:p>
        </w:tc>
        <w:tc>
          <w:tcPr>
            <w:tcW w:w="28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szCs w:val="22"/>
              </w:rPr>
            </w:pPr>
            <w:proofErr w:type="gramStart"/>
            <w:r w:rsidRPr="00222B1E">
              <w:rPr>
                <w:szCs w:val="22"/>
              </w:rPr>
              <w:t>36%</w:t>
            </w:r>
            <w:proofErr w:type="gramEnd"/>
          </w:p>
        </w:tc>
      </w:tr>
      <w:tr w:rsidR="00496965" w:rsidRPr="00222B1E" w:rsidTr="00B002DF">
        <w:trPr>
          <w:trHeight w:val="288"/>
        </w:trPr>
        <w:tc>
          <w:tcPr>
            <w:tcW w:w="3727"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222B1E">
              <w:rPr>
                <w:color w:val="000000"/>
                <w:szCs w:val="22"/>
              </w:rPr>
              <w:t>Energisparinvesteringar</w:t>
            </w:r>
          </w:p>
        </w:tc>
        <w:tc>
          <w:tcPr>
            <w:tcW w:w="952"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18,2</w:t>
            </w:r>
          </w:p>
        </w:tc>
        <w:tc>
          <w:tcPr>
            <w:tcW w:w="956"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32,0</w:t>
            </w:r>
          </w:p>
        </w:tc>
        <w:tc>
          <w:tcPr>
            <w:tcW w:w="1005"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13,8</w:t>
            </w:r>
          </w:p>
        </w:tc>
        <w:tc>
          <w:tcPr>
            <w:tcW w:w="28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szCs w:val="22"/>
              </w:rPr>
            </w:pPr>
            <w:proofErr w:type="gramStart"/>
            <w:r w:rsidRPr="00222B1E">
              <w:rPr>
                <w:szCs w:val="22"/>
              </w:rPr>
              <w:t>57%</w:t>
            </w:r>
            <w:proofErr w:type="gramEnd"/>
          </w:p>
        </w:tc>
      </w:tr>
      <w:tr w:rsidR="00496965" w:rsidRPr="00222B1E" w:rsidTr="00B002DF">
        <w:trPr>
          <w:trHeight w:val="288"/>
        </w:trPr>
        <w:tc>
          <w:tcPr>
            <w:tcW w:w="3727" w:type="dxa"/>
            <w:tcBorders>
              <w:top w:val="nil"/>
              <w:left w:val="nil"/>
              <w:bottom w:val="nil"/>
              <w:right w:val="nil"/>
            </w:tcBorders>
            <w:shd w:val="clear" w:color="auto" w:fill="auto"/>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222B1E">
              <w:rPr>
                <w:color w:val="000000"/>
                <w:szCs w:val="22"/>
              </w:rPr>
              <w:t>Övriga fastighetsinveringar</w:t>
            </w:r>
          </w:p>
        </w:tc>
        <w:tc>
          <w:tcPr>
            <w:tcW w:w="952" w:type="dxa"/>
            <w:tcBorders>
              <w:top w:val="nil"/>
              <w:left w:val="nil"/>
              <w:bottom w:val="nil"/>
              <w:right w:val="nil"/>
            </w:tcBorders>
            <w:shd w:val="clear" w:color="auto" w:fill="auto"/>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23,2</w:t>
            </w:r>
          </w:p>
        </w:tc>
        <w:tc>
          <w:tcPr>
            <w:tcW w:w="956" w:type="dxa"/>
            <w:tcBorders>
              <w:top w:val="nil"/>
              <w:left w:val="nil"/>
              <w:bottom w:val="nil"/>
              <w:right w:val="nil"/>
            </w:tcBorders>
            <w:shd w:val="clear" w:color="auto" w:fill="auto"/>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59,3</w:t>
            </w:r>
          </w:p>
        </w:tc>
        <w:tc>
          <w:tcPr>
            <w:tcW w:w="1005"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36,1</w:t>
            </w:r>
          </w:p>
        </w:tc>
        <w:tc>
          <w:tcPr>
            <w:tcW w:w="28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szCs w:val="22"/>
              </w:rPr>
            </w:pPr>
            <w:proofErr w:type="gramStart"/>
            <w:r w:rsidRPr="00222B1E">
              <w:rPr>
                <w:szCs w:val="22"/>
              </w:rPr>
              <w:t>39%</w:t>
            </w:r>
            <w:proofErr w:type="gramEnd"/>
          </w:p>
        </w:tc>
      </w:tr>
      <w:tr w:rsidR="00496965" w:rsidRPr="00222B1E" w:rsidTr="00B002DF">
        <w:trPr>
          <w:trHeight w:val="408"/>
        </w:trPr>
        <w:tc>
          <w:tcPr>
            <w:tcW w:w="3727"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222B1E">
              <w:rPr>
                <w:b/>
                <w:bCs/>
                <w:color w:val="000000"/>
                <w:szCs w:val="22"/>
              </w:rPr>
              <w:t>Fastighetsinvesteringar totalt</w:t>
            </w:r>
          </w:p>
        </w:tc>
        <w:tc>
          <w:tcPr>
            <w:tcW w:w="952"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590,1</w:t>
            </w:r>
          </w:p>
        </w:tc>
        <w:tc>
          <w:tcPr>
            <w:tcW w:w="956"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935,0</w:t>
            </w:r>
          </w:p>
        </w:tc>
        <w:tc>
          <w:tcPr>
            <w:tcW w:w="1005"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344,9</w:t>
            </w:r>
          </w:p>
        </w:tc>
        <w:tc>
          <w:tcPr>
            <w:tcW w:w="280"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 </w:t>
            </w:r>
          </w:p>
        </w:tc>
        <w:tc>
          <w:tcPr>
            <w:tcW w:w="1240" w:type="dxa"/>
            <w:tcBorders>
              <w:top w:val="nil"/>
              <w:left w:val="nil"/>
              <w:bottom w:val="nil"/>
              <w:right w:val="nil"/>
            </w:tcBorders>
            <w:shd w:val="clear" w:color="000000" w:fill="B8CCE4"/>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szCs w:val="22"/>
              </w:rPr>
            </w:pPr>
            <w:proofErr w:type="gramStart"/>
            <w:r w:rsidRPr="00222B1E">
              <w:rPr>
                <w:b/>
                <w:bCs/>
                <w:szCs w:val="22"/>
              </w:rPr>
              <w:t>63%</w:t>
            </w:r>
            <w:proofErr w:type="gramEnd"/>
          </w:p>
        </w:tc>
      </w:tr>
      <w:tr w:rsidR="00496965" w:rsidRPr="00222B1E" w:rsidTr="00B002DF">
        <w:trPr>
          <w:trHeight w:val="348"/>
        </w:trPr>
        <w:tc>
          <w:tcPr>
            <w:tcW w:w="3727"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222B1E">
              <w:rPr>
                <w:color w:val="000000"/>
                <w:szCs w:val="22"/>
              </w:rPr>
              <w:t xml:space="preserve">Infrastruktur ordinarie </w:t>
            </w:r>
          </w:p>
        </w:tc>
        <w:tc>
          <w:tcPr>
            <w:tcW w:w="952"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84,6</w:t>
            </w:r>
          </w:p>
        </w:tc>
        <w:tc>
          <w:tcPr>
            <w:tcW w:w="956"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100,0</w:t>
            </w:r>
          </w:p>
        </w:tc>
        <w:tc>
          <w:tcPr>
            <w:tcW w:w="1005"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15,4</w:t>
            </w:r>
          </w:p>
        </w:tc>
        <w:tc>
          <w:tcPr>
            <w:tcW w:w="28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szCs w:val="22"/>
              </w:rPr>
            </w:pPr>
            <w:proofErr w:type="gramStart"/>
            <w:r w:rsidRPr="00222B1E">
              <w:rPr>
                <w:szCs w:val="22"/>
              </w:rPr>
              <w:t>85%</w:t>
            </w:r>
            <w:proofErr w:type="gramEnd"/>
          </w:p>
        </w:tc>
      </w:tr>
      <w:tr w:rsidR="00496965" w:rsidRPr="00222B1E" w:rsidTr="00B002DF">
        <w:trPr>
          <w:trHeight w:val="288"/>
        </w:trPr>
        <w:tc>
          <w:tcPr>
            <w:tcW w:w="3727" w:type="dxa"/>
            <w:tcBorders>
              <w:top w:val="nil"/>
              <w:left w:val="nil"/>
              <w:bottom w:val="nil"/>
              <w:right w:val="nil"/>
            </w:tcBorders>
            <w:shd w:val="clear" w:color="auto" w:fill="auto"/>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222B1E">
              <w:rPr>
                <w:color w:val="000000"/>
                <w:szCs w:val="22"/>
              </w:rPr>
              <w:t>Infrastruktur strategisk</w:t>
            </w:r>
          </w:p>
        </w:tc>
        <w:tc>
          <w:tcPr>
            <w:tcW w:w="952" w:type="dxa"/>
            <w:tcBorders>
              <w:top w:val="nil"/>
              <w:left w:val="nil"/>
              <w:bottom w:val="nil"/>
              <w:right w:val="nil"/>
            </w:tcBorders>
            <w:shd w:val="clear" w:color="auto" w:fill="auto"/>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82,3</w:t>
            </w:r>
          </w:p>
        </w:tc>
        <w:tc>
          <w:tcPr>
            <w:tcW w:w="956"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125,6</w:t>
            </w:r>
          </w:p>
        </w:tc>
        <w:tc>
          <w:tcPr>
            <w:tcW w:w="1005"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color w:val="000000"/>
                <w:szCs w:val="22"/>
              </w:rPr>
            </w:pPr>
            <w:r w:rsidRPr="00222B1E">
              <w:rPr>
                <w:color w:val="000000"/>
                <w:szCs w:val="22"/>
              </w:rPr>
              <w:t>43,3</w:t>
            </w:r>
          </w:p>
        </w:tc>
        <w:tc>
          <w:tcPr>
            <w:tcW w:w="28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szCs w:val="22"/>
              </w:rPr>
            </w:pPr>
            <w:proofErr w:type="gramStart"/>
            <w:r w:rsidRPr="00222B1E">
              <w:rPr>
                <w:szCs w:val="22"/>
              </w:rPr>
              <w:t>66%</w:t>
            </w:r>
            <w:proofErr w:type="gramEnd"/>
          </w:p>
        </w:tc>
      </w:tr>
      <w:tr w:rsidR="00496965" w:rsidRPr="00222B1E" w:rsidTr="00B002DF">
        <w:trPr>
          <w:trHeight w:val="408"/>
        </w:trPr>
        <w:tc>
          <w:tcPr>
            <w:tcW w:w="3727"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222B1E">
              <w:rPr>
                <w:b/>
                <w:bCs/>
                <w:color w:val="000000"/>
                <w:szCs w:val="22"/>
              </w:rPr>
              <w:t>Infrastruktur totalt</w:t>
            </w:r>
          </w:p>
        </w:tc>
        <w:tc>
          <w:tcPr>
            <w:tcW w:w="952"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166,9</w:t>
            </w:r>
          </w:p>
        </w:tc>
        <w:tc>
          <w:tcPr>
            <w:tcW w:w="956"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225,6</w:t>
            </w:r>
          </w:p>
        </w:tc>
        <w:tc>
          <w:tcPr>
            <w:tcW w:w="1005"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58,7</w:t>
            </w:r>
          </w:p>
        </w:tc>
        <w:tc>
          <w:tcPr>
            <w:tcW w:w="280"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 </w:t>
            </w:r>
          </w:p>
        </w:tc>
        <w:tc>
          <w:tcPr>
            <w:tcW w:w="1240" w:type="dxa"/>
            <w:tcBorders>
              <w:top w:val="nil"/>
              <w:left w:val="nil"/>
              <w:bottom w:val="nil"/>
              <w:right w:val="nil"/>
            </w:tcBorders>
            <w:shd w:val="clear" w:color="000000" w:fill="B8CCE4"/>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szCs w:val="22"/>
              </w:rPr>
            </w:pPr>
            <w:proofErr w:type="gramStart"/>
            <w:r w:rsidRPr="00222B1E">
              <w:rPr>
                <w:b/>
                <w:bCs/>
                <w:szCs w:val="22"/>
              </w:rPr>
              <w:t>74%</w:t>
            </w:r>
            <w:proofErr w:type="gramEnd"/>
          </w:p>
        </w:tc>
      </w:tr>
      <w:tr w:rsidR="00496965" w:rsidRPr="00222B1E" w:rsidTr="00B002DF">
        <w:trPr>
          <w:trHeight w:val="408"/>
        </w:trPr>
        <w:tc>
          <w:tcPr>
            <w:tcW w:w="3727"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222B1E">
              <w:rPr>
                <w:b/>
                <w:bCs/>
                <w:color w:val="000000"/>
                <w:szCs w:val="22"/>
              </w:rPr>
              <w:t>Övriga nämnder</w:t>
            </w:r>
          </w:p>
        </w:tc>
        <w:tc>
          <w:tcPr>
            <w:tcW w:w="952"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118,0</w:t>
            </w:r>
          </w:p>
        </w:tc>
        <w:tc>
          <w:tcPr>
            <w:tcW w:w="956"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129,9</w:t>
            </w:r>
          </w:p>
        </w:tc>
        <w:tc>
          <w:tcPr>
            <w:tcW w:w="1005"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11,9</w:t>
            </w:r>
          </w:p>
        </w:tc>
        <w:tc>
          <w:tcPr>
            <w:tcW w:w="280"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 </w:t>
            </w:r>
          </w:p>
        </w:tc>
        <w:tc>
          <w:tcPr>
            <w:tcW w:w="1240" w:type="dxa"/>
            <w:tcBorders>
              <w:top w:val="nil"/>
              <w:left w:val="nil"/>
              <w:bottom w:val="nil"/>
              <w:right w:val="nil"/>
            </w:tcBorders>
            <w:shd w:val="clear" w:color="000000" w:fill="B8CCE4"/>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szCs w:val="22"/>
              </w:rPr>
            </w:pPr>
            <w:proofErr w:type="gramStart"/>
            <w:r w:rsidRPr="00222B1E">
              <w:rPr>
                <w:b/>
                <w:bCs/>
                <w:szCs w:val="22"/>
              </w:rPr>
              <w:t>91%</w:t>
            </w:r>
            <w:proofErr w:type="gramEnd"/>
          </w:p>
        </w:tc>
      </w:tr>
      <w:tr w:rsidR="00496965" w:rsidRPr="00222B1E" w:rsidTr="00B002DF">
        <w:trPr>
          <w:trHeight w:val="408"/>
        </w:trPr>
        <w:tc>
          <w:tcPr>
            <w:tcW w:w="3727"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222B1E">
              <w:rPr>
                <w:b/>
                <w:bCs/>
                <w:color w:val="000000"/>
                <w:szCs w:val="22"/>
              </w:rPr>
              <w:t xml:space="preserve">Total investeringar </w:t>
            </w:r>
            <w:proofErr w:type="spellStart"/>
            <w:r w:rsidRPr="00222B1E">
              <w:rPr>
                <w:b/>
                <w:bCs/>
                <w:color w:val="000000"/>
                <w:szCs w:val="22"/>
              </w:rPr>
              <w:t>exkl</w:t>
            </w:r>
            <w:proofErr w:type="spellEnd"/>
            <w:r w:rsidRPr="00222B1E">
              <w:rPr>
                <w:b/>
                <w:bCs/>
                <w:color w:val="000000"/>
                <w:szCs w:val="22"/>
              </w:rPr>
              <w:t xml:space="preserve"> exploatering mm</w:t>
            </w:r>
          </w:p>
        </w:tc>
        <w:tc>
          <w:tcPr>
            <w:tcW w:w="952"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875,0</w:t>
            </w:r>
          </w:p>
        </w:tc>
        <w:tc>
          <w:tcPr>
            <w:tcW w:w="956"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1 290,5</w:t>
            </w:r>
          </w:p>
        </w:tc>
        <w:tc>
          <w:tcPr>
            <w:tcW w:w="1005"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415,5</w:t>
            </w:r>
          </w:p>
        </w:tc>
        <w:tc>
          <w:tcPr>
            <w:tcW w:w="280"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 </w:t>
            </w:r>
          </w:p>
        </w:tc>
        <w:tc>
          <w:tcPr>
            <w:tcW w:w="1240" w:type="dxa"/>
            <w:tcBorders>
              <w:top w:val="nil"/>
              <w:left w:val="nil"/>
              <w:bottom w:val="nil"/>
              <w:right w:val="nil"/>
            </w:tcBorders>
            <w:shd w:val="clear" w:color="000000" w:fill="B8CCE4"/>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szCs w:val="22"/>
              </w:rPr>
            </w:pPr>
            <w:proofErr w:type="gramStart"/>
            <w:r w:rsidRPr="00222B1E">
              <w:rPr>
                <w:b/>
                <w:bCs/>
                <w:szCs w:val="22"/>
              </w:rPr>
              <w:t>68%</w:t>
            </w:r>
            <w:proofErr w:type="gramEnd"/>
          </w:p>
        </w:tc>
      </w:tr>
      <w:tr w:rsidR="00496965" w:rsidRPr="00222B1E" w:rsidTr="00B002DF">
        <w:trPr>
          <w:trHeight w:val="456"/>
        </w:trPr>
        <w:tc>
          <w:tcPr>
            <w:tcW w:w="3727" w:type="dxa"/>
            <w:tcBorders>
              <w:top w:val="nil"/>
              <w:left w:val="nil"/>
              <w:bottom w:val="nil"/>
              <w:right w:val="nil"/>
            </w:tcBorders>
            <w:shd w:val="clear" w:color="auto" w:fill="auto"/>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222B1E">
              <w:rPr>
                <w:b/>
                <w:bCs/>
                <w:color w:val="000000"/>
                <w:szCs w:val="22"/>
              </w:rPr>
              <w:t>Extern hyra och exploateringsinvestering</w:t>
            </w:r>
          </w:p>
        </w:tc>
        <w:tc>
          <w:tcPr>
            <w:tcW w:w="952" w:type="dxa"/>
            <w:tcBorders>
              <w:top w:val="nil"/>
              <w:left w:val="nil"/>
              <w:bottom w:val="nil"/>
              <w:right w:val="nil"/>
            </w:tcBorders>
            <w:shd w:val="clear" w:color="auto" w:fill="auto"/>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46,2</w:t>
            </w:r>
          </w:p>
        </w:tc>
        <w:tc>
          <w:tcPr>
            <w:tcW w:w="956" w:type="dxa"/>
            <w:tcBorders>
              <w:top w:val="nil"/>
              <w:left w:val="nil"/>
              <w:bottom w:val="nil"/>
              <w:right w:val="nil"/>
            </w:tcBorders>
            <w:shd w:val="clear" w:color="auto" w:fill="auto"/>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87,0</w:t>
            </w:r>
          </w:p>
        </w:tc>
        <w:tc>
          <w:tcPr>
            <w:tcW w:w="1005" w:type="dxa"/>
            <w:tcBorders>
              <w:top w:val="nil"/>
              <w:left w:val="nil"/>
              <w:bottom w:val="nil"/>
              <w:right w:val="nil"/>
            </w:tcBorders>
            <w:shd w:val="clear" w:color="000000" w:fill="FFFFFF"/>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40,8</w:t>
            </w:r>
          </w:p>
        </w:tc>
        <w:tc>
          <w:tcPr>
            <w:tcW w:w="28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rFonts w:ascii="Arial" w:hAnsi="Arial" w:cs="Arial"/>
                <w:b/>
                <w:bCs/>
                <w:sz w:val="20"/>
                <w:szCs w:val="20"/>
              </w:rPr>
            </w:pPr>
          </w:p>
        </w:tc>
        <w:tc>
          <w:tcPr>
            <w:tcW w:w="1240" w:type="dxa"/>
            <w:tcBorders>
              <w:top w:val="nil"/>
              <w:left w:val="nil"/>
              <w:bottom w:val="nil"/>
              <w:right w:val="nil"/>
            </w:tcBorders>
            <w:shd w:val="clear" w:color="auto" w:fill="auto"/>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szCs w:val="22"/>
              </w:rPr>
            </w:pPr>
            <w:proofErr w:type="gramStart"/>
            <w:r w:rsidRPr="00222B1E">
              <w:rPr>
                <w:szCs w:val="22"/>
              </w:rPr>
              <w:t>53%</w:t>
            </w:r>
            <w:proofErr w:type="gramEnd"/>
          </w:p>
        </w:tc>
      </w:tr>
      <w:tr w:rsidR="00496965" w:rsidRPr="00222B1E" w:rsidTr="00B002DF">
        <w:trPr>
          <w:trHeight w:val="408"/>
        </w:trPr>
        <w:tc>
          <w:tcPr>
            <w:tcW w:w="3727"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222B1E">
              <w:rPr>
                <w:b/>
                <w:bCs/>
                <w:color w:val="000000"/>
                <w:szCs w:val="22"/>
              </w:rPr>
              <w:t>Total nettoinvestering</w:t>
            </w:r>
          </w:p>
        </w:tc>
        <w:tc>
          <w:tcPr>
            <w:tcW w:w="952"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921,2</w:t>
            </w:r>
          </w:p>
        </w:tc>
        <w:tc>
          <w:tcPr>
            <w:tcW w:w="956"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1 377,5</w:t>
            </w:r>
          </w:p>
        </w:tc>
        <w:tc>
          <w:tcPr>
            <w:tcW w:w="1005"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456,3</w:t>
            </w:r>
          </w:p>
        </w:tc>
        <w:tc>
          <w:tcPr>
            <w:tcW w:w="280" w:type="dxa"/>
            <w:tcBorders>
              <w:top w:val="nil"/>
              <w:left w:val="nil"/>
              <w:bottom w:val="nil"/>
              <w:right w:val="nil"/>
            </w:tcBorders>
            <w:shd w:val="clear" w:color="000000" w:fill="B8CCE4"/>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222B1E">
              <w:rPr>
                <w:b/>
                <w:bCs/>
                <w:color w:val="000000"/>
                <w:szCs w:val="22"/>
              </w:rPr>
              <w:t> </w:t>
            </w:r>
          </w:p>
        </w:tc>
        <w:tc>
          <w:tcPr>
            <w:tcW w:w="1240" w:type="dxa"/>
            <w:tcBorders>
              <w:top w:val="nil"/>
              <w:left w:val="nil"/>
              <w:bottom w:val="nil"/>
              <w:right w:val="nil"/>
            </w:tcBorders>
            <w:shd w:val="clear" w:color="000000" w:fill="B8CCE4"/>
            <w:noWrap/>
            <w:vAlign w:val="bottom"/>
            <w:hideMark/>
          </w:tcPr>
          <w:p w:rsidR="00496965" w:rsidRPr="00222B1E" w:rsidRDefault="00496965" w:rsidP="00B002DF">
            <w:pPr>
              <w:tabs>
                <w:tab w:val="clear" w:pos="0"/>
                <w:tab w:val="clear" w:pos="1304"/>
                <w:tab w:val="clear" w:pos="2608"/>
                <w:tab w:val="clear" w:pos="3912"/>
                <w:tab w:val="clear" w:pos="5216"/>
                <w:tab w:val="clear" w:pos="6521"/>
                <w:tab w:val="clear" w:pos="7825"/>
                <w:tab w:val="clear" w:pos="9129"/>
              </w:tabs>
              <w:spacing w:line="240" w:lineRule="auto"/>
              <w:jc w:val="right"/>
              <w:rPr>
                <w:b/>
                <w:bCs/>
                <w:szCs w:val="22"/>
              </w:rPr>
            </w:pPr>
            <w:proofErr w:type="gramStart"/>
            <w:r w:rsidRPr="00222B1E">
              <w:rPr>
                <w:b/>
                <w:bCs/>
                <w:szCs w:val="22"/>
              </w:rPr>
              <w:t>67%</w:t>
            </w:r>
            <w:proofErr w:type="gramEnd"/>
          </w:p>
        </w:tc>
      </w:tr>
    </w:tbl>
    <w:p w:rsidR="00496965" w:rsidRDefault="00496965" w:rsidP="00AB3198">
      <w:pPr>
        <w:spacing w:line="240" w:lineRule="auto"/>
      </w:pPr>
    </w:p>
    <w:p w:rsidR="00234613" w:rsidRDefault="00234613">
      <w:pPr>
        <w:tabs>
          <w:tab w:val="clear" w:pos="0"/>
          <w:tab w:val="clear" w:pos="1304"/>
          <w:tab w:val="clear" w:pos="2608"/>
          <w:tab w:val="clear" w:pos="3912"/>
          <w:tab w:val="clear" w:pos="5216"/>
          <w:tab w:val="clear" w:pos="6521"/>
          <w:tab w:val="clear" w:pos="7825"/>
          <w:tab w:val="clear" w:pos="9129"/>
        </w:tabs>
        <w:spacing w:line="240" w:lineRule="auto"/>
        <w:rPr>
          <w:kern w:val="32"/>
          <w:sz w:val="36"/>
        </w:rPr>
      </w:pPr>
      <w:r>
        <w:br w:type="page"/>
      </w:r>
    </w:p>
    <w:p w:rsidR="00B002DF" w:rsidRDefault="0095728D" w:rsidP="003E0938">
      <w:pPr>
        <w:pStyle w:val="Rubrik1"/>
      </w:pPr>
      <w:r>
        <w:lastRenderedPageBreak/>
        <w:t xml:space="preserve">Helägda och delägda </w:t>
      </w:r>
      <w:r w:rsidR="00B002DF" w:rsidRPr="00B002DF">
        <w:t>Bolag</w:t>
      </w:r>
    </w:p>
    <w:p w:rsidR="003E0938" w:rsidRPr="00383761" w:rsidRDefault="00843F81" w:rsidP="003E0938">
      <w:pPr>
        <w:pStyle w:val="Rubrik2"/>
      </w:pPr>
      <w:r>
        <w:t>Västerås Stadshus</w:t>
      </w:r>
      <w:r w:rsidR="003E0938" w:rsidRPr="00383761">
        <w:t xml:space="preserve">koncern </w:t>
      </w:r>
    </w:p>
    <w:p w:rsidR="005176D9" w:rsidRDefault="005176D9" w:rsidP="005176D9">
      <w:pPr>
        <w:spacing w:after="120" w:line="240" w:lineRule="auto"/>
      </w:pPr>
      <w:r>
        <w:t>Västerås stadshus AB ägs i sin helhet av Västerås stad och är moderbolag för Mälarenergi AB, Bostads AB Mimer, Nya Västerås Flygplats AB, Västerås Parkering AB, Västerås stads strategiska Fastigheter AB och Västerås marknads- och näringslivsaktiebolag.</w:t>
      </w:r>
    </w:p>
    <w:p w:rsidR="00132CDB" w:rsidRPr="00132CDB" w:rsidRDefault="001F031A" w:rsidP="00871040">
      <w:pPr>
        <w:spacing w:after="120" w:line="240" w:lineRule="auto"/>
      </w:pPr>
      <w:r>
        <w:t xml:space="preserve">Stadshuskoncernens </w:t>
      </w:r>
      <w:r w:rsidR="00871040" w:rsidRPr="00132CDB">
        <w:t xml:space="preserve">totala intäkt för räkenskapsåret uppgick till 4 379 mnkr (4 014), en ökning med 365 mnkr. Ökningen jämfört med föregående år beror på höjning av priser för värme, vatten och elnät, ökad såld energivolym samt högre elpriser. </w:t>
      </w:r>
    </w:p>
    <w:p w:rsidR="00333B19" w:rsidRPr="00132CDB" w:rsidRDefault="00333B19" w:rsidP="003E0938">
      <w:pPr>
        <w:spacing w:after="120" w:line="240" w:lineRule="auto"/>
      </w:pPr>
      <w:r w:rsidRPr="00132CDB">
        <w:t xml:space="preserve">Resultat efter finansiella poster uppgår till 657 mnkr (332), en ökning med 325 mnkr. I ökningen jämfört med föregående år finns en jämförelsestörande post på 450 mnkr, som består av försäljning </w:t>
      </w:r>
      <w:r w:rsidR="001F031A">
        <w:t xml:space="preserve">av </w:t>
      </w:r>
      <w:r w:rsidRPr="00132CDB">
        <w:t>aktier</w:t>
      </w:r>
      <w:r w:rsidR="00553DF9" w:rsidRPr="00132CDB">
        <w:t>na</w:t>
      </w:r>
      <w:r w:rsidRPr="00132CDB">
        <w:t xml:space="preserve"> i ett bolag som tillhörde dotterbolaget Bostads AB Mimer.</w:t>
      </w:r>
    </w:p>
    <w:p w:rsidR="003E0938" w:rsidRDefault="00333B19" w:rsidP="003E0938">
      <w:pPr>
        <w:spacing w:after="120" w:line="240" w:lineRule="auto"/>
      </w:pPr>
      <w:r w:rsidRPr="00132CDB">
        <w:t>Resultatet</w:t>
      </w:r>
      <w:r w:rsidR="00553DF9" w:rsidRPr="00132CDB">
        <w:t xml:space="preserve"> efter finansiella poster</w:t>
      </w:r>
      <w:r w:rsidR="00132CDB" w:rsidRPr="00132CDB">
        <w:t xml:space="preserve"> för koncernen, exklusive aktie</w:t>
      </w:r>
      <w:r w:rsidRPr="00132CDB">
        <w:t>försäljningen</w:t>
      </w:r>
      <w:r w:rsidR="00132CDB" w:rsidRPr="00132CDB">
        <w:t>,</w:t>
      </w:r>
      <w:r w:rsidRPr="00132CDB">
        <w:t xml:space="preserve"> är lägre i </w:t>
      </w:r>
      <w:r w:rsidR="00553DF9" w:rsidRPr="00132CDB">
        <w:t>jämförelse med föregående år 207 mnkr (332), en minskning med 125 mnkr.</w:t>
      </w:r>
    </w:p>
    <w:p w:rsidR="00C34DB1" w:rsidRDefault="00C34DB1" w:rsidP="003E0938">
      <w:pPr>
        <w:spacing w:after="120" w:line="240" w:lineRule="auto"/>
      </w:pPr>
    </w:p>
    <w:tbl>
      <w:tblPr>
        <w:tblW w:w="7480" w:type="dxa"/>
        <w:tblInd w:w="65" w:type="dxa"/>
        <w:tblCellMar>
          <w:left w:w="70" w:type="dxa"/>
          <w:right w:w="70" w:type="dxa"/>
        </w:tblCellMar>
        <w:tblLook w:val="04A0" w:firstRow="1" w:lastRow="0" w:firstColumn="1" w:lastColumn="0" w:noHBand="0" w:noVBand="1"/>
      </w:tblPr>
      <w:tblGrid>
        <w:gridCol w:w="4328"/>
        <w:gridCol w:w="1556"/>
        <w:gridCol w:w="1596"/>
      </w:tblGrid>
      <w:tr w:rsidR="00D57601" w:rsidRPr="00D57601" w:rsidTr="00D57601">
        <w:trPr>
          <w:trHeight w:val="600"/>
        </w:trPr>
        <w:tc>
          <w:tcPr>
            <w:tcW w:w="4328" w:type="dxa"/>
            <w:tcBorders>
              <w:top w:val="single" w:sz="4" w:space="0" w:color="auto"/>
              <w:left w:val="single" w:sz="4" w:space="0" w:color="auto"/>
              <w:bottom w:val="nil"/>
              <w:right w:val="nil"/>
            </w:tcBorders>
            <w:shd w:val="clear" w:color="auto" w:fill="F2DBDB" w:themeFill="accent2" w:themeFillTint="33"/>
            <w:noWrap/>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rPr>
                <w:color w:val="000000"/>
                <w:sz w:val="28"/>
                <w:szCs w:val="28"/>
              </w:rPr>
            </w:pPr>
            <w:r w:rsidRPr="00D57601">
              <w:rPr>
                <w:color w:val="000000"/>
                <w:sz w:val="28"/>
                <w:szCs w:val="28"/>
              </w:rPr>
              <w:t>Stadshuskoncernen</w:t>
            </w:r>
          </w:p>
        </w:tc>
        <w:tc>
          <w:tcPr>
            <w:tcW w:w="1556" w:type="dxa"/>
            <w:tcBorders>
              <w:top w:val="single" w:sz="4" w:space="0" w:color="auto"/>
              <w:left w:val="nil"/>
              <w:bottom w:val="nil"/>
              <w:right w:val="nil"/>
            </w:tcBorders>
            <w:shd w:val="clear" w:color="auto" w:fill="F2DBDB" w:themeFill="accent2" w:themeFillTint="33"/>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D57601">
              <w:rPr>
                <w:b/>
                <w:bCs/>
                <w:color w:val="000000"/>
                <w:szCs w:val="22"/>
              </w:rPr>
              <w:t>Stadshus-koncern 2018</w:t>
            </w:r>
          </w:p>
        </w:tc>
        <w:tc>
          <w:tcPr>
            <w:tcW w:w="1596" w:type="dxa"/>
            <w:tcBorders>
              <w:top w:val="single" w:sz="4" w:space="0" w:color="auto"/>
              <w:left w:val="nil"/>
              <w:bottom w:val="nil"/>
              <w:right w:val="single" w:sz="4" w:space="0" w:color="auto"/>
            </w:tcBorders>
            <w:shd w:val="clear" w:color="auto" w:fill="F2DBDB" w:themeFill="accent2" w:themeFillTint="33"/>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D57601">
              <w:rPr>
                <w:b/>
                <w:bCs/>
                <w:color w:val="000000"/>
                <w:szCs w:val="22"/>
              </w:rPr>
              <w:t>Stadshus-koncern 2017</w:t>
            </w:r>
          </w:p>
        </w:tc>
      </w:tr>
      <w:tr w:rsidR="00D57601" w:rsidRPr="00D57601" w:rsidTr="00D57601">
        <w:trPr>
          <w:trHeight w:val="300"/>
        </w:trPr>
        <w:tc>
          <w:tcPr>
            <w:tcW w:w="4328" w:type="dxa"/>
            <w:tcBorders>
              <w:top w:val="nil"/>
              <w:left w:val="single" w:sz="4" w:space="0" w:color="auto"/>
              <w:bottom w:val="nil"/>
              <w:right w:val="nil"/>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D57601">
              <w:rPr>
                <w:b/>
                <w:bCs/>
                <w:color w:val="000000"/>
                <w:szCs w:val="22"/>
              </w:rPr>
              <w:t>December 2018</w:t>
            </w:r>
          </w:p>
        </w:tc>
        <w:tc>
          <w:tcPr>
            <w:tcW w:w="1556" w:type="dxa"/>
            <w:tcBorders>
              <w:top w:val="nil"/>
              <w:left w:val="nil"/>
              <w:bottom w:val="nil"/>
              <w:right w:val="nil"/>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p>
        </w:tc>
        <w:tc>
          <w:tcPr>
            <w:tcW w:w="1596" w:type="dxa"/>
            <w:tcBorders>
              <w:top w:val="nil"/>
              <w:left w:val="nil"/>
              <w:bottom w:val="nil"/>
              <w:right w:val="single" w:sz="4" w:space="0" w:color="auto"/>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D57601">
              <w:rPr>
                <w:b/>
                <w:bCs/>
                <w:color w:val="000000"/>
                <w:szCs w:val="22"/>
              </w:rPr>
              <w:t> </w:t>
            </w:r>
          </w:p>
        </w:tc>
      </w:tr>
      <w:tr w:rsidR="00D57601" w:rsidRPr="00D57601" w:rsidTr="00D57601">
        <w:trPr>
          <w:trHeight w:val="300"/>
        </w:trPr>
        <w:tc>
          <w:tcPr>
            <w:tcW w:w="4328" w:type="dxa"/>
            <w:tcBorders>
              <w:top w:val="nil"/>
              <w:left w:val="single" w:sz="4" w:space="0" w:color="auto"/>
              <w:bottom w:val="nil"/>
              <w:right w:val="nil"/>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D57601">
              <w:rPr>
                <w:color w:val="000000"/>
                <w:szCs w:val="22"/>
              </w:rPr>
              <w:t> </w:t>
            </w:r>
          </w:p>
        </w:tc>
        <w:tc>
          <w:tcPr>
            <w:tcW w:w="1556" w:type="dxa"/>
            <w:tcBorders>
              <w:top w:val="nil"/>
              <w:left w:val="nil"/>
              <w:bottom w:val="nil"/>
              <w:right w:val="nil"/>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p>
        </w:tc>
        <w:tc>
          <w:tcPr>
            <w:tcW w:w="1596" w:type="dxa"/>
            <w:tcBorders>
              <w:top w:val="nil"/>
              <w:left w:val="nil"/>
              <w:bottom w:val="nil"/>
              <w:right w:val="single" w:sz="4" w:space="0" w:color="auto"/>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D57601">
              <w:rPr>
                <w:b/>
                <w:bCs/>
                <w:color w:val="000000"/>
                <w:szCs w:val="22"/>
              </w:rPr>
              <w:t> </w:t>
            </w:r>
          </w:p>
        </w:tc>
      </w:tr>
      <w:tr w:rsidR="00D57601" w:rsidRPr="00D57601" w:rsidTr="00D57601">
        <w:trPr>
          <w:trHeight w:val="288"/>
        </w:trPr>
        <w:tc>
          <w:tcPr>
            <w:tcW w:w="4328" w:type="dxa"/>
            <w:tcBorders>
              <w:top w:val="single" w:sz="4" w:space="0" w:color="auto"/>
              <w:left w:val="single" w:sz="4" w:space="0" w:color="auto"/>
              <w:bottom w:val="single" w:sz="4" w:space="0" w:color="auto"/>
              <w:right w:val="nil"/>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D57601">
              <w:rPr>
                <w:b/>
                <w:bCs/>
                <w:color w:val="000000"/>
                <w:szCs w:val="22"/>
              </w:rPr>
              <w:t>Summa intäkter</w:t>
            </w:r>
          </w:p>
        </w:tc>
        <w:tc>
          <w:tcPr>
            <w:tcW w:w="1556" w:type="dxa"/>
            <w:tcBorders>
              <w:top w:val="single" w:sz="4" w:space="0" w:color="auto"/>
              <w:left w:val="nil"/>
              <w:bottom w:val="single" w:sz="4" w:space="0" w:color="auto"/>
              <w:right w:val="nil"/>
            </w:tcBorders>
            <w:shd w:val="clear" w:color="auto" w:fill="auto"/>
            <w:noWrap/>
            <w:vAlign w:val="bottom"/>
            <w:hideMark/>
          </w:tcPr>
          <w:p w:rsidR="00D57601" w:rsidRPr="00D57601" w:rsidRDefault="00333B19" w:rsidP="00D57601">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Pr>
                <w:b/>
                <w:bCs/>
                <w:color w:val="000000"/>
                <w:szCs w:val="22"/>
              </w:rPr>
              <w:t>4 379 115</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D57601">
              <w:rPr>
                <w:b/>
                <w:bCs/>
                <w:color w:val="000000"/>
                <w:szCs w:val="22"/>
              </w:rPr>
              <w:t>4 014 323</w:t>
            </w:r>
          </w:p>
        </w:tc>
      </w:tr>
      <w:tr w:rsidR="00D57601" w:rsidRPr="00D57601" w:rsidTr="00D57601">
        <w:trPr>
          <w:trHeight w:val="288"/>
        </w:trPr>
        <w:tc>
          <w:tcPr>
            <w:tcW w:w="4328" w:type="dxa"/>
            <w:tcBorders>
              <w:top w:val="single" w:sz="4" w:space="0" w:color="auto"/>
              <w:left w:val="single" w:sz="4" w:space="0" w:color="auto"/>
              <w:bottom w:val="single" w:sz="4" w:space="0" w:color="auto"/>
              <w:right w:val="nil"/>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D57601">
              <w:rPr>
                <w:b/>
                <w:bCs/>
                <w:color w:val="000000"/>
                <w:szCs w:val="22"/>
              </w:rPr>
              <w:t>Summa rörelsens kostnader</w:t>
            </w:r>
          </w:p>
        </w:tc>
        <w:tc>
          <w:tcPr>
            <w:tcW w:w="1556" w:type="dxa"/>
            <w:tcBorders>
              <w:top w:val="single" w:sz="4" w:space="0" w:color="auto"/>
              <w:left w:val="nil"/>
              <w:bottom w:val="single" w:sz="4" w:space="0" w:color="auto"/>
              <w:right w:val="nil"/>
            </w:tcBorders>
            <w:shd w:val="clear" w:color="auto" w:fill="auto"/>
            <w:noWrap/>
            <w:vAlign w:val="bottom"/>
            <w:hideMark/>
          </w:tcPr>
          <w:p w:rsidR="00D57601" w:rsidRPr="00D57601" w:rsidRDefault="00333B19" w:rsidP="00D57601">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Pr>
                <w:b/>
                <w:bCs/>
                <w:color w:val="000000"/>
                <w:szCs w:val="22"/>
              </w:rPr>
              <w:t>-3 167 674</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D57601">
              <w:rPr>
                <w:b/>
                <w:bCs/>
                <w:color w:val="000000"/>
                <w:szCs w:val="22"/>
              </w:rPr>
              <w:t>-2 785 457</w:t>
            </w:r>
          </w:p>
        </w:tc>
      </w:tr>
      <w:tr w:rsidR="00D57601" w:rsidRPr="00D57601" w:rsidTr="00D57601">
        <w:trPr>
          <w:trHeight w:val="288"/>
        </w:trPr>
        <w:tc>
          <w:tcPr>
            <w:tcW w:w="4328" w:type="dxa"/>
            <w:tcBorders>
              <w:top w:val="nil"/>
              <w:left w:val="single" w:sz="4" w:space="0" w:color="auto"/>
              <w:bottom w:val="single" w:sz="4" w:space="0" w:color="auto"/>
              <w:right w:val="nil"/>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D57601">
              <w:rPr>
                <w:b/>
                <w:bCs/>
                <w:color w:val="000000"/>
                <w:szCs w:val="22"/>
              </w:rPr>
              <w:t>Resultat före avskrivningar</w:t>
            </w:r>
          </w:p>
        </w:tc>
        <w:tc>
          <w:tcPr>
            <w:tcW w:w="1556" w:type="dxa"/>
            <w:tcBorders>
              <w:top w:val="nil"/>
              <w:left w:val="nil"/>
              <w:bottom w:val="single" w:sz="4" w:space="0" w:color="auto"/>
              <w:right w:val="nil"/>
            </w:tcBorders>
            <w:shd w:val="clear" w:color="auto" w:fill="auto"/>
            <w:noWrap/>
            <w:vAlign w:val="bottom"/>
            <w:hideMark/>
          </w:tcPr>
          <w:p w:rsidR="00D57601" w:rsidRPr="00D57601" w:rsidRDefault="00333B19" w:rsidP="00D57601">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Pr>
                <w:b/>
                <w:bCs/>
                <w:color w:val="000000"/>
                <w:szCs w:val="22"/>
              </w:rPr>
              <w:t>1 211 441</w:t>
            </w:r>
          </w:p>
        </w:tc>
        <w:tc>
          <w:tcPr>
            <w:tcW w:w="1596" w:type="dxa"/>
            <w:tcBorders>
              <w:top w:val="nil"/>
              <w:left w:val="nil"/>
              <w:bottom w:val="single" w:sz="4" w:space="0" w:color="auto"/>
              <w:right w:val="single" w:sz="4" w:space="0" w:color="auto"/>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D57601">
              <w:rPr>
                <w:b/>
                <w:bCs/>
                <w:color w:val="000000"/>
                <w:szCs w:val="22"/>
              </w:rPr>
              <w:t>1 228 866</w:t>
            </w:r>
          </w:p>
        </w:tc>
      </w:tr>
      <w:tr w:rsidR="00D57601" w:rsidRPr="00D57601" w:rsidTr="00D57601">
        <w:trPr>
          <w:trHeight w:val="300"/>
        </w:trPr>
        <w:tc>
          <w:tcPr>
            <w:tcW w:w="4328" w:type="dxa"/>
            <w:tcBorders>
              <w:top w:val="nil"/>
              <w:left w:val="single" w:sz="4" w:space="0" w:color="auto"/>
              <w:bottom w:val="nil"/>
              <w:right w:val="nil"/>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rPr>
                <w:color w:val="000000"/>
                <w:szCs w:val="22"/>
              </w:rPr>
            </w:pPr>
            <w:r w:rsidRPr="00D57601">
              <w:rPr>
                <w:color w:val="000000"/>
                <w:szCs w:val="22"/>
              </w:rPr>
              <w:t>Avskrivningar</w:t>
            </w:r>
          </w:p>
        </w:tc>
        <w:tc>
          <w:tcPr>
            <w:tcW w:w="1556" w:type="dxa"/>
            <w:tcBorders>
              <w:top w:val="nil"/>
              <w:left w:val="nil"/>
              <w:bottom w:val="nil"/>
              <w:right w:val="nil"/>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D57601">
              <w:rPr>
                <w:b/>
                <w:bCs/>
                <w:color w:val="000000"/>
                <w:szCs w:val="22"/>
              </w:rPr>
              <w:t>-794 175</w:t>
            </w:r>
          </w:p>
        </w:tc>
        <w:tc>
          <w:tcPr>
            <w:tcW w:w="1596" w:type="dxa"/>
            <w:tcBorders>
              <w:top w:val="nil"/>
              <w:left w:val="nil"/>
              <w:bottom w:val="nil"/>
              <w:right w:val="single" w:sz="4" w:space="0" w:color="auto"/>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D57601">
              <w:rPr>
                <w:b/>
                <w:bCs/>
                <w:color w:val="000000"/>
                <w:szCs w:val="22"/>
              </w:rPr>
              <w:t>-733 790</w:t>
            </w:r>
          </w:p>
        </w:tc>
      </w:tr>
      <w:tr w:rsidR="00D57601" w:rsidRPr="00D57601" w:rsidTr="00D57601">
        <w:trPr>
          <w:trHeight w:val="288"/>
        </w:trPr>
        <w:tc>
          <w:tcPr>
            <w:tcW w:w="4328" w:type="dxa"/>
            <w:tcBorders>
              <w:top w:val="nil"/>
              <w:left w:val="single" w:sz="4" w:space="0" w:color="auto"/>
              <w:bottom w:val="single" w:sz="4" w:space="0" w:color="auto"/>
              <w:right w:val="nil"/>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D57601">
              <w:rPr>
                <w:b/>
                <w:bCs/>
                <w:color w:val="000000"/>
                <w:szCs w:val="22"/>
              </w:rPr>
              <w:t>Rörelseresultat</w:t>
            </w:r>
          </w:p>
        </w:tc>
        <w:tc>
          <w:tcPr>
            <w:tcW w:w="1556" w:type="dxa"/>
            <w:tcBorders>
              <w:top w:val="nil"/>
              <w:left w:val="nil"/>
              <w:bottom w:val="single" w:sz="4" w:space="0" w:color="auto"/>
              <w:right w:val="nil"/>
            </w:tcBorders>
            <w:shd w:val="clear" w:color="auto" w:fill="auto"/>
            <w:noWrap/>
            <w:vAlign w:val="bottom"/>
            <w:hideMark/>
          </w:tcPr>
          <w:p w:rsidR="00D57601" w:rsidRPr="00D57601" w:rsidRDefault="00333B19" w:rsidP="00D57601">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Pr>
                <w:b/>
                <w:bCs/>
                <w:color w:val="000000"/>
                <w:szCs w:val="22"/>
              </w:rPr>
              <w:t>417 266</w:t>
            </w:r>
          </w:p>
        </w:tc>
        <w:tc>
          <w:tcPr>
            <w:tcW w:w="1596" w:type="dxa"/>
            <w:tcBorders>
              <w:top w:val="nil"/>
              <w:left w:val="nil"/>
              <w:bottom w:val="single" w:sz="4" w:space="0" w:color="auto"/>
              <w:right w:val="single" w:sz="4" w:space="0" w:color="auto"/>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D57601">
              <w:rPr>
                <w:b/>
                <w:bCs/>
                <w:color w:val="000000"/>
                <w:szCs w:val="22"/>
              </w:rPr>
              <w:t>495 076</w:t>
            </w:r>
          </w:p>
        </w:tc>
      </w:tr>
      <w:tr w:rsidR="00D57601" w:rsidRPr="00D57601" w:rsidTr="00D57601">
        <w:trPr>
          <w:trHeight w:val="288"/>
        </w:trPr>
        <w:tc>
          <w:tcPr>
            <w:tcW w:w="4328" w:type="dxa"/>
            <w:tcBorders>
              <w:top w:val="nil"/>
              <w:left w:val="single" w:sz="4" w:space="0" w:color="auto"/>
              <w:bottom w:val="nil"/>
              <w:right w:val="nil"/>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rPr>
                <w:i/>
                <w:iCs/>
                <w:color w:val="000000"/>
                <w:szCs w:val="22"/>
              </w:rPr>
            </w:pPr>
            <w:r w:rsidRPr="00D57601">
              <w:rPr>
                <w:i/>
                <w:iCs/>
                <w:color w:val="000000"/>
                <w:szCs w:val="22"/>
              </w:rPr>
              <w:t>Resultat från finansiella poster</w:t>
            </w:r>
          </w:p>
        </w:tc>
        <w:tc>
          <w:tcPr>
            <w:tcW w:w="1556" w:type="dxa"/>
            <w:tcBorders>
              <w:top w:val="nil"/>
              <w:left w:val="nil"/>
              <w:bottom w:val="nil"/>
              <w:right w:val="nil"/>
            </w:tcBorders>
            <w:shd w:val="clear" w:color="auto" w:fill="auto"/>
            <w:noWrap/>
            <w:vAlign w:val="bottom"/>
            <w:hideMark/>
          </w:tcPr>
          <w:p w:rsidR="00D57601" w:rsidRPr="00D57601" w:rsidRDefault="00333B19" w:rsidP="00D57601">
            <w:pPr>
              <w:tabs>
                <w:tab w:val="clear" w:pos="0"/>
                <w:tab w:val="clear" w:pos="1304"/>
                <w:tab w:val="clear" w:pos="2608"/>
                <w:tab w:val="clear" w:pos="3912"/>
                <w:tab w:val="clear" w:pos="5216"/>
                <w:tab w:val="clear" w:pos="6521"/>
                <w:tab w:val="clear" w:pos="7825"/>
                <w:tab w:val="clear" w:pos="9129"/>
              </w:tabs>
              <w:spacing w:line="240" w:lineRule="auto"/>
              <w:jc w:val="right"/>
              <w:rPr>
                <w:b/>
                <w:bCs/>
                <w:i/>
                <w:iCs/>
                <w:color w:val="000000"/>
                <w:szCs w:val="22"/>
              </w:rPr>
            </w:pPr>
            <w:r>
              <w:rPr>
                <w:b/>
                <w:bCs/>
                <w:i/>
                <w:iCs/>
                <w:color w:val="000000"/>
                <w:szCs w:val="22"/>
              </w:rPr>
              <w:t>239 887</w:t>
            </w:r>
          </w:p>
        </w:tc>
        <w:tc>
          <w:tcPr>
            <w:tcW w:w="1596" w:type="dxa"/>
            <w:tcBorders>
              <w:top w:val="nil"/>
              <w:left w:val="nil"/>
              <w:bottom w:val="nil"/>
              <w:right w:val="single" w:sz="4" w:space="0" w:color="auto"/>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jc w:val="right"/>
              <w:rPr>
                <w:b/>
                <w:bCs/>
                <w:i/>
                <w:iCs/>
                <w:color w:val="000000"/>
                <w:szCs w:val="22"/>
              </w:rPr>
            </w:pPr>
            <w:r w:rsidRPr="00D57601">
              <w:rPr>
                <w:b/>
                <w:bCs/>
                <w:i/>
                <w:iCs/>
                <w:color w:val="000000"/>
                <w:szCs w:val="22"/>
              </w:rPr>
              <w:t>-163 062</w:t>
            </w:r>
          </w:p>
        </w:tc>
      </w:tr>
      <w:tr w:rsidR="00D57601" w:rsidRPr="00D57601" w:rsidTr="00D57601">
        <w:trPr>
          <w:trHeight w:val="300"/>
        </w:trPr>
        <w:tc>
          <w:tcPr>
            <w:tcW w:w="4328" w:type="dxa"/>
            <w:tcBorders>
              <w:top w:val="single" w:sz="4" w:space="0" w:color="auto"/>
              <w:left w:val="single" w:sz="4" w:space="0" w:color="auto"/>
              <w:bottom w:val="single" w:sz="4" w:space="0" w:color="auto"/>
              <w:right w:val="nil"/>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rPr>
                <w:b/>
                <w:bCs/>
                <w:color w:val="000000"/>
                <w:szCs w:val="22"/>
              </w:rPr>
            </w:pPr>
            <w:r w:rsidRPr="00D57601">
              <w:rPr>
                <w:b/>
                <w:bCs/>
                <w:color w:val="000000"/>
                <w:szCs w:val="22"/>
              </w:rPr>
              <w:t>Resultat efter finansiella poster</w:t>
            </w:r>
          </w:p>
        </w:tc>
        <w:tc>
          <w:tcPr>
            <w:tcW w:w="1556" w:type="dxa"/>
            <w:tcBorders>
              <w:top w:val="single" w:sz="4" w:space="0" w:color="auto"/>
              <w:left w:val="nil"/>
              <w:bottom w:val="single" w:sz="4" w:space="0" w:color="auto"/>
              <w:right w:val="nil"/>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D57601">
              <w:rPr>
                <w:b/>
                <w:bCs/>
                <w:color w:val="000000"/>
                <w:szCs w:val="22"/>
              </w:rPr>
              <w:t>657 153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D57601" w:rsidRPr="00D57601" w:rsidRDefault="00D57601" w:rsidP="00D57601">
            <w:pPr>
              <w:tabs>
                <w:tab w:val="clear" w:pos="0"/>
                <w:tab w:val="clear" w:pos="1304"/>
                <w:tab w:val="clear" w:pos="2608"/>
                <w:tab w:val="clear" w:pos="3912"/>
                <w:tab w:val="clear" w:pos="5216"/>
                <w:tab w:val="clear" w:pos="6521"/>
                <w:tab w:val="clear" w:pos="7825"/>
                <w:tab w:val="clear" w:pos="9129"/>
              </w:tabs>
              <w:spacing w:line="240" w:lineRule="auto"/>
              <w:jc w:val="right"/>
              <w:rPr>
                <w:b/>
                <w:bCs/>
                <w:color w:val="000000"/>
                <w:szCs w:val="22"/>
              </w:rPr>
            </w:pPr>
            <w:r w:rsidRPr="00D57601">
              <w:rPr>
                <w:b/>
                <w:bCs/>
                <w:color w:val="000000"/>
                <w:szCs w:val="22"/>
              </w:rPr>
              <w:t>332 014</w:t>
            </w:r>
          </w:p>
        </w:tc>
      </w:tr>
    </w:tbl>
    <w:p w:rsidR="00AF3BC1" w:rsidRPr="00B002DF" w:rsidRDefault="00AF3BC1" w:rsidP="00B002DF"/>
    <w:p w:rsidR="00C34DB1" w:rsidRDefault="00C34DB1">
      <w:pPr>
        <w:tabs>
          <w:tab w:val="clear" w:pos="0"/>
          <w:tab w:val="clear" w:pos="1304"/>
          <w:tab w:val="clear" w:pos="2608"/>
          <w:tab w:val="clear" w:pos="3912"/>
          <w:tab w:val="clear" w:pos="5216"/>
          <w:tab w:val="clear" w:pos="6521"/>
          <w:tab w:val="clear" w:pos="7825"/>
          <w:tab w:val="clear" w:pos="9129"/>
        </w:tabs>
        <w:spacing w:line="240" w:lineRule="auto"/>
        <w:rPr>
          <w:b/>
          <w:caps/>
          <w:sz w:val="25"/>
        </w:rPr>
      </w:pPr>
      <w:r>
        <w:rPr>
          <w:b/>
          <w:caps/>
          <w:sz w:val="25"/>
        </w:rPr>
        <w:br w:type="page"/>
      </w:r>
    </w:p>
    <w:p w:rsidR="00B002DF" w:rsidRPr="001473A4" w:rsidRDefault="00B002DF" w:rsidP="00B002DF">
      <w:pPr>
        <w:keepNext/>
        <w:spacing w:after="60" w:line="270" w:lineRule="exact"/>
        <w:outlineLvl w:val="1"/>
        <w:rPr>
          <w:b/>
          <w:caps/>
          <w:sz w:val="18"/>
          <w:szCs w:val="18"/>
        </w:rPr>
      </w:pPr>
      <w:r w:rsidRPr="00B002DF">
        <w:rPr>
          <w:b/>
          <w:caps/>
          <w:sz w:val="25"/>
        </w:rPr>
        <w:lastRenderedPageBreak/>
        <w:t>Mälarhamnar AB</w:t>
      </w:r>
      <w:r w:rsidR="001473A4">
        <w:rPr>
          <w:b/>
          <w:caps/>
          <w:sz w:val="25"/>
        </w:rPr>
        <w:t xml:space="preserve">, </w:t>
      </w:r>
      <w:r w:rsidR="001473A4" w:rsidRPr="001473A4">
        <w:rPr>
          <w:b/>
          <w:caps/>
          <w:sz w:val="18"/>
          <w:szCs w:val="18"/>
        </w:rPr>
        <w:t>Delägt bolag 55 %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3009"/>
        <w:gridCol w:w="3753"/>
        <w:gridCol w:w="1188"/>
      </w:tblGrid>
      <w:tr w:rsidR="00B002DF" w:rsidRPr="00B002DF" w:rsidTr="00B002DF">
        <w:trPr>
          <w:trHeight w:val="311"/>
        </w:trPr>
        <w:tc>
          <w:tcPr>
            <w:tcW w:w="3009" w:type="dxa"/>
            <w:shd w:val="clear" w:color="auto" w:fill="F2DBDB" w:themeFill="accent2" w:themeFillTint="33"/>
          </w:tcPr>
          <w:p w:rsidR="00B002DF" w:rsidRPr="00B002DF" w:rsidRDefault="00B002DF" w:rsidP="00B002DF">
            <w:r w:rsidRPr="00B002DF">
              <w:t>Budget</w:t>
            </w:r>
          </w:p>
        </w:tc>
        <w:tc>
          <w:tcPr>
            <w:tcW w:w="3753" w:type="dxa"/>
            <w:shd w:val="clear" w:color="auto" w:fill="F2DBDB" w:themeFill="accent2" w:themeFillTint="33"/>
          </w:tcPr>
          <w:p w:rsidR="00B002DF" w:rsidRPr="00B002DF" w:rsidRDefault="00B002DF" w:rsidP="00B002DF">
            <w:r w:rsidRPr="00B002DF">
              <w:t>Resultat efter finansiella poster</w:t>
            </w:r>
          </w:p>
        </w:tc>
        <w:tc>
          <w:tcPr>
            <w:tcW w:w="1188" w:type="dxa"/>
            <w:shd w:val="clear" w:color="auto" w:fill="F2DBDB" w:themeFill="accent2" w:themeFillTint="33"/>
          </w:tcPr>
          <w:p w:rsidR="00B002DF" w:rsidRPr="00B002DF" w:rsidRDefault="00B002DF" w:rsidP="00B002DF">
            <w:r w:rsidRPr="00B002DF">
              <w:t>Avvikelse</w:t>
            </w:r>
          </w:p>
        </w:tc>
      </w:tr>
      <w:tr w:rsidR="00B002DF" w:rsidRPr="00B002DF" w:rsidTr="00B002DF">
        <w:trPr>
          <w:trHeight w:val="311"/>
        </w:trPr>
        <w:tc>
          <w:tcPr>
            <w:tcW w:w="3009" w:type="dxa"/>
            <w:shd w:val="clear" w:color="auto" w:fill="F2DBDB" w:themeFill="accent2" w:themeFillTint="33"/>
          </w:tcPr>
          <w:p w:rsidR="00B002DF" w:rsidRPr="00B002DF" w:rsidRDefault="00B002DF" w:rsidP="00B002DF">
            <w:r w:rsidRPr="00B002DF">
              <w:t>10,0</w:t>
            </w:r>
          </w:p>
        </w:tc>
        <w:tc>
          <w:tcPr>
            <w:tcW w:w="3753" w:type="dxa"/>
            <w:shd w:val="clear" w:color="auto" w:fill="F2DBDB" w:themeFill="accent2" w:themeFillTint="33"/>
          </w:tcPr>
          <w:p w:rsidR="00B002DF" w:rsidRPr="00B002DF" w:rsidRDefault="00B002DF" w:rsidP="00B002DF">
            <w:r w:rsidRPr="00B002DF">
              <w:t>25,0</w:t>
            </w:r>
          </w:p>
        </w:tc>
        <w:tc>
          <w:tcPr>
            <w:tcW w:w="1188" w:type="dxa"/>
            <w:shd w:val="clear" w:color="auto" w:fill="F2DBDB" w:themeFill="accent2" w:themeFillTint="33"/>
          </w:tcPr>
          <w:p w:rsidR="00B002DF" w:rsidRPr="00B002DF" w:rsidRDefault="00B002DF" w:rsidP="00B002DF">
            <w:r w:rsidRPr="00B002DF">
              <w:t>15,0</w:t>
            </w:r>
          </w:p>
        </w:tc>
      </w:tr>
    </w:tbl>
    <w:p w:rsidR="00A46CE9" w:rsidRDefault="0095728D" w:rsidP="004626D9">
      <w:pPr>
        <w:spacing w:after="120" w:line="240" w:lineRule="auto"/>
      </w:pPr>
      <w:r w:rsidRPr="0095728D">
        <w:t>Nettoomsättningen 2018 ökade från budgeterade 120 mnkr till 138 m</w:t>
      </w:r>
      <w:r w:rsidR="004626D9">
        <w:t>n</w:t>
      </w:r>
      <w:r w:rsidRPr="0095728D">
        <w:t xml:space="preserve">kr. Intäkter </w:t>
      </w:r>
      <w:r w:rsidR="004626D9">
        <w:t>från</w:t>
      </w:r>
      <w:r w:rsidRPr="0095728D">
        <w:t xml:space="preserve"> bolagets tio största kunde</w:t>
      </w:r>
      <w:r w:rsidR="004626D9">
        <w:t>r står för den största ökningen. R</w:t>
      </w:r>
      <w:r w:rsidRPr="0095728D">
        <w:t>örelsekostnaderna ökade 5 m</w:t>
      </w:r>
      <w:r w:rsidR="004626D9">
        <w:t>n</w:t>
      </w:r>
      <w:r w:rsidRPr="0095728D">
        <w:t>kr jämfört med budget varav 3 m</w:t>
      </w:r>
      <w:r w:rsidR="004626D9">
        <w:t>n</w:t>
      </w:r>
      <w:r w:rsidRPr="0095728D">
        <w:t>kr avser personalkostnader för att klara av de ökade volymer</w:t>
      </w:r>
      <w:r w:rsidR="004626D9">
        <w:t>na.</w:t>
      </w:r>
    </w:p>
    <w:p w:rsidR="00843F81" w:rsidRPr="00A46CE9" w:rsidRDefault="00843F81" w:rsidP="00843F81">
      <w:pPr>
        <w:pStyle w:val="Rubrik1"/>
      </w:pPr>
      <w:r>
        <w:t>Kommunalförbund</w:t>
      </w:r>
    </w:p>
    <w:p w:rsidR="00843F81" w:rsidRDefault="00843F81" w:rsidP="00843F81">
      <w:pPr>
        <w:pStyle w:val="Rubrik2"/>
      </w:pPr>
      <w:r>
        <w:t>Mälardalens brand- och räddningsförbund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2654"/>
        <w:gridCol w:w="2655"/>
        <w:gridCol w:w="2655"/>
      </w:tblGrid>
      <w:tr w:rsidR="00843F81" w:rsidTr="003C23F2">
        <w:tc>
          <w:tcPr>
            <w:tcW w:w="2654" w:type="dxa"/>
            <w:shd w:val="clear" w:color="auto" w:fill="EAF1DD" w:themeFill="accent3" w:themeFillTint="33"/>
          </w:tcPr>
          <w:p w:rsidR="00843F81" w:rsidRDefault="00843F81" w:rsidP="003C23F2">
            <w:r>
              <w:t>Budget</w:t>
            </w:r>
          </w:p>
        </w:tc>
        <w:tc>
          <w:tcPr>
            <w:tcW w:w="2655" w:type="dxa"/>
            <w:shd w:val="clear" w:color="auto" w:fill="EAF1DD" w:themeFill="accent3" w:themeFillTint="33"/>
          </w:tcPr>
          <w:p w:rsidR="00843F81" w:rsidRDefault="00843F81" w:rsidP="003C23F2">
            <w:r>
              <w:t>Utfall</w:t>
            </w:r>
          </w:p>
        </w:tc>
        <w:tc>
          <w:tcPr>
            <w:tcW w:w="2655" w:type="dxa"/>
            <w:shd w:val="clear" w:color="auto" w:fill="EAF1DD" w:themeFill="accent3" w:themeFillTint="33"/>
          </w:tcPr>
          <w:p w:rsidR="00843F81" w:rsidRDefault="00843F81" w:rsidP="003C23F2">
            <w:r>
              <w:t>Avvikelse</w:t>
            </w:r>
          </w:p>
        </w:tc>
      </w:tr>
      <w:tr w:rsidR="00843F81" w:rsidTr="003C23F2">
        <w:tc>
          <w:tcPr>
            <w:tcW w:w="2654" w:type="dxa"/>
            <w:shd w:val="clear" w:color="auto" w:fill="EAF1DD" w:themeFill="accent3" w:themeFillTint="33"/>
          </w:tcPr>
          <w:p w:rsidR="00843F81" w:rsidRDefault="00843F81" w:rsidP="003C23F2">
            <w:r>
              <w:t>0,0</w:t>
            </w:r>
          </w:p>
        </w:tc>
        <w:tc>
          <w:tcPr>
            <w:tcW w:w="2655" w:type="dxa"/>
            <w:shd w:val="clear" w:color="auto" w:fill="EAF1DD" w:themeFill="accent3" w:themeFillTint="33"/>
          </w:tcPr>
          <w:p w:rsidR="00843F81" w:rsidRDefault="00843F81" w:rsidP="003C23F2">
            <w:proofErr w:type="gramStart"/>
            <w:r>
              <w:t>-</w:t>
            </w:r>
            <w:proofErr w:type="gramEnd"/>
            <w:r>
              <w:t>1,5</w:t>
            </w:r>
          </w:p>
        </w:tc>
        <w:tc>
          <w:tcPr>
            <w:tcW w:w="2655" w:type="dxa"/>
            <w:shd w:val="clear" w:color="auto" w:fill="EAF1DD" w:themeFill="accent3" w:themeFillTint="33"/>
          </w:tcPr>
          <w:p w:rsidR="00843F81" w:rsidRDefault="00843F81" w:rsidP="003C23F2">
            <w:proofErr w:type="gramStart"/>
            <w:r>
              <w:t>-</w:t>
            </w:r>
            <w:proofErr w:type="gramEnd"/>
            <w:r>
              <w:t>1,5</w:t>
            </w:r>
          </w:p>
        </w:tc>
      </w:tr>
    </w:tbl>
    <w:p w:rsidR="00843F81" w:rsidRPr="006F3138" w:rsidRDefault="00843F81" w:rsidP="00843F81">
      <w:pPr>
        <w:spacing w:after="120" w:line="240" w:lineRule="auto"/>
      </w:pPr>
      <w:r>
        <w:t>Både kostnaderna och intäkterna är högre än budget. Det är fler medarbetare som gått i pension enligt SAP-R-avtalet och övertid för skogsbränder samt slitage av fordon som ökar kostnadssidan, men även högre intäkter från medlemmar och från andra kommuner för hjälp vid skogsbränder. Totalt är resultatet -1,5 mnkr.</w:t>
      </w:r>
    </w:p>
    <w:p w:rsidR="00843F81" w:rsidRDefault="00843F81" w:rsidP="00843F81">
      <w:pPr>
        <w:pStyle w:val="Rubrik2"/>
      </w:pPr>
      <w:r>
        <w:t>VafabMiljö kommunalförbund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2654"/>
        <w:gridCol w:w="2655"/>
        <w:gridCol w:w="2655"/>
      </w:tblGrid>
      <w:tr w:rsidR="00843F81" w:rsidTr="003C23F2">
        <w:tc>
          <w:tcPr>
            <w:tcW w:w="2654" w:type="dxa"/>
            <w:shd w:val="clear" w:color="auto" w:fill="EAF1DD" w:themeFill="accent3" w:themeFillTint="33"/>
          </w:tcPr>
          <w:p w:rsidR="00843F81" w:rsidRDefault="00843F81" w:rsidP="003C23F2">
            <w:r>
              <w:t>Budget</w:t>
            </w:r>
          </w:p>
        </w:tc>
        <w:tc>
          <w:tcPr>
            <w:tcW w:w="2655" w:type="dxa"/>
            <w:shd w:val="clear" w:color="auto" w:fill="EAF1DD" w:themeFill="accent3" w:themeFillTint="33"/>
          </w:tcPr>
          <w:p w:rsidR="00843F81" w:rsidRDefault="00843F81" w:rsidP="003C23F2">
            <w:r>
              <w:t>Utfall</w:t>
            </w:r>
          </w:p>
        </w:tc>
        <w:tc>
          <w:tcPr>
            <w:tcW w:w="2655" w:type="dxa"/>
            <w:shd w:val="clear" w:color="auto" w:fill="EAF1DD" w:themeFill="accent3" w:themeFillTint="33"/>
          </w:tcPr>
          <w:p w:rsidR="00843F81" w:rsidRDefault="00843F81" w:rsidP="003C23F2">
            <w:r>
              <w:t>Avvikelse</w:t>
            </w:r>
          </w:p>
        </w:tc>
      </w:tr>
      <w:tr w:rsidR="00843F81" w:rsidTr="003C23F2">
        <w:tc>
          <w:tcPr>
            <w:tcW w:w="2654" w:type="dxa"/>
            <w:shd w:val="clear" w:color="auto" w:fill="EAF1DD" w:themeFill="accent3" w:themeFillTint="33"/>
          </w:tcPr>
          <w:p w:rsidR="00843F81" w:rsidRDefault="00843F81" w:rsidP="003C23F2">
            <w:r>
              <w:t>10,1</w:t>
            </w:r>
          </w:p>
        </w:tc>
        <w:tc>
          <w:tcPr>
            <w:tcW w:w="2655" w:type="dxa"/>
            <w:shd w:val="clear" w:color="auto" w:fill="EAF1DD" w:themeFill="accent3" w:themeFillTint="33"/>
          </w:tcPr>
          <w:p w:rsidR="00843F81" w:rsidRDefault="00062074" w:rsidP="003C23F2">
            <w:r>
              <w:t>7,8</w:t>
            </w:r>
          </w:p>
        </w:tc>
        <w:tc>
          <w:tcPr>
            <w:tcW w:w="2655" w:type="dxa"/>
            <w:shd w:val="clear" w:color="auto" w:fill="EAF1DD" w:themeFill="accent3" w:themeFillTint="33"/>
          </w:tcPr>
          <w:p w:rsidR="00843F81" w:rsidRDefault="00843F81" w:rsidP="00062074">
            <w:proofErr w:type="gramStart"/>
            <w:r>
              <w:t>-</w:t>
            </w:r>
            <w:proofErr w:type="gramEnd"/>
            <w:r w:rsidR="00062074">
              <w:t>2,3</w:t>
            </w:r>
          </w:p>
        </w:tc>
      </w:tr>
    </w:tbl>
    <w:p w:rsidR="00843F81" w:rsidRPr="006F3138" w:rsidRDefault="00843F81" w:rsidP="00843F81">
      <w:pPr>
        <w:spacing w:after="120" w:line="240" w:lineRule="auto"/>
      </w:pPr>
      <w:r>
        <w:t>Det kommunala avfallsuppdraget har ett negativt resultat beroende på ökade insamlingskostnader samt ökade avskrivningskostnader för deponier. Övrig avfallsverksamhet har ett positivt resultat beroende på ökade intäkter för deponerings- och schaktmassor.</w:t>
      </w:r>
    </w:p>
    <w:p w:rsidR="00843F81" w:rsidRDefault="00843F81" w:rsidP="00843F81">
      <w:pPr>
        <w:pStyle w:val="Rubrik2"/>
      </w:pPr>
      <w:r>
        <w:t>Västmanlands teater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2654"/>
        <w:gridCol w:w="2655"/>
        <w:gridCol w:w="2655"/>
      </w:tblGrid>
      <w:tr w:rsidR="00843F81" w:rsidTr="003C23F2">
        <w:tc>
          <w:tcPr>
            <w:tcW w:w="2654" w:type="dxa"/>
            <w:shd w:val="clear" w:color="auto" w:fill="EAF1DD" w:themeFill="accent3" w:themeFillTint="33"/>
          </w:tcPr>
          <w:p w:rsidR="00843F81" w:rsidRDefault="00843F81" w:rsidP="003C23F2">
            <w:r>
              <w:t>Budget</w:t>
            </w:r>
          </w:p>
        </w:tc>
        <w:tc>
          <w:tcPr>
            <w:tcW w:w="2655" w:type="dxa"/>
            <w:shd w:val="clear" w:color="auto" w:fill="EAF1DD" w:themeFill="accent3" w:themeFillTint="33"/>
          </w:tcPr>
          <w:p w:rsidR="00843F81" w:rsidRDefault="00843F81" w:rsidP="003C23F2">
            <w:r>
              <w:t>Utfall</w:t>
            </w:r>
          </w:p>
        </w:tc>
        <w:tc>
          <w:tcPr>
            <w:tcW w:w="2655" w:type="dxa"/>
            <w:shd w:val="clear" w:color="auto" w:fill="EAF1DD" w:themeFill="accent3" w:themeFillTint="33"/>
          </w:tcPr>
          <w:p w:rsidR="00843F81" w:rsidRDefault="00843F81" w:rsidP="003C23F2">
            <w:r>
              <w:t>Avvikelse</w:t>
            </w:r>
          </w:p>
        </w:tc>
      </w:tr>
      <w:tr w:rsidR="00843F81" w:rsidTr="003C23F2">
        <w:tc>
          <w:tcPr>
            <w:tcW w:w="2654" w:type="dxa"/>
            <w:shd w:val="clear" w:color="auto" w:fill="EAF1DD" w:themeFill="accent3" w:themeFillTint="33"/>
          </w:tcPr>
          <w:p w:rsidR="00843F81" w:rsidRDefault="00843F81" w:rsidP="003C23F2">
            <w:proofErr w:type="gramStart"/>
            <w:r>
              <w:t>-</w:t>
            </w:r>
            <w:proofErr w:type="gramEnd"/>
            <w:r>
              <w:t>0,6</w:t>
            </w:r>
          </w:p>
        </w:tc>
        <w:tc>
          <w:tcPr>
            <w:tcW w:w="2655" w:type="dxa"/>
            <w:shd w:val="clear" w:color="auto" w:fill="EAF1DD" w:themeFill="accent3" w:themeFillTint="33"/>
          </w:tcPr>
          <w:p w:rsidR="00843F81" w:rsidRDefault="00843F81" w:rsidP="003C23F2">
            <w:r>
              <w:t>0,5</w:t>
            </w:r>
          </w:p>
        </w:tc>
        <w:tc>
          <w:tcPr>
            <w:tcW w:w="2655" w:type="dxa"/>
            <w:shd w:val="clear" w:color="auto" w:fill="EAF1DD" w:themeFill="accent3" w:themeFillTint="33"/>
          </w:tcPr>
          <w:p w:rsidR="00843F81" w:rsidRDefault="00843F81" w:rsidP="003C23F2">
            <w:r>
              <w:t>1,1</w:t>
            </w:r>
          </w:p>
        </w:tc>
      </w:tr>
    </w:tbl>
    <w:p w:rsidR="00843F81" w:rsidRPr="006F3138" w:rsidRDefault="00843F81" w:rsidP="00843F81">
      <w:pPr>
        <w:spacing w:after="120" w:line="240" w:lineRule="auto"/>
      </w:pPr>
      <w:r>
        <w:t>Biljettförsäljningen och caféförsäljningen har ökat och genom att extraföreställningar satts in för Den stora branden samt för Romeo och Julia gör det att resultatet är bättre än budget.</w:t>
      </w:r>
    </w:p>
    <w:p w:rsidR="00843F81" w:rsidRDefault="00843F81" w:rsidP="00843F81">
      <w:pPr>
        <w:pStyle w:val="Rubrik2"/>
      </w:pPr>
      <w:r>
        <w:t>Västmanlandsmusiken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2654"/>
        <w:gridCol w:w="2655"/>
        <w:gridCol w:w="2655"/>
      </w:tblGrid>
      <w:tr w:rsidR="00843F81" w:rsidTr="003C23F2">
        <w:tc>
          <w:tcPr>
            <w:tcW w:w="2654" w:type="dxa"/>
            <w:shd w:val="clear" w:color="auto" w:fill="EAF1DD" w:themeFill="accent3" w:themeFillTint="33"/>
          </w:tcPr>
          <w:p w:rsidR="00843F81" w:rsidRDefault="00843F81" w:rsidP="003C23F2">
            <w:r>
              <w:t>Budget</w:t>
            </w:r>
          </w:p>
        </w:tc>
        <w:tc>
          <w:tcPr>
            <w:tcW w:w="2655" w:type="dxa"/>
            <w:shd w:val="clear" w:color="auto" w:fill="EAF1DD" w:themeFill="accent3" w:themeFillTint="33"/>
          </w:tcPr>
          <w:p w:rsidR="00843F81" w:rsidRDefault="00843F81" w:rsidP="003C23F2">
            <w:r>
              <w:t>Utfall</w:t>
            </w:r>
          </w:p>
        </w:tc>
        <w:tc>
          <w:tcPr>
            <w:tcW w:w="2655" w:type="dxa"/>
            <w:shd w:val="clear" w:color="auto" w:fill="EAF1DD" w:themeFill="accent3" w:themeFillTint="33"/>
          </w:tcPr>
          <w:p w:rsidR="00843F81" w:rsidRDefault="00843F81" w:rsidP="003C23F2">
            <w:r>
              <w:t>Avvikelse</w:t>
            </w:r>
          </w:p>
        </w:tc>
      </w:tr>
      <w:tr w:rsidR="00843F81" w:rsidTr="003C23F2">
        <w:tc>
          <w:tcPr>
            <w:tcW w:w="2654" w:type="dxa"/>
            <w:shd w:val="clear" w:color="auto" w:fill="EAF1DD" w:themeFill="accent3" w:themeFillTint="33"/>
          </w:tcPr>
          <w:p w:rsidR="00843F81" w:rsidRDefault="00843F81" w:rsidP="003C23F2">
            <w:r>
              <w:t>0,4</w:t>
            </w:r>
          </w:p>
        </w:tc>
        <w:tc>
          <w:tcPr>
            <w:tcW w:w="2655" w:type="dxa"/>
            <w:shd w:val="clear" w:color="auto" w:fill="EAF1DD" w:themeFill="accent3" w:themeFillTint="33"/>
          </w:tcPr>
          <w:p w:rsidR="00843F81" w:rsidRDefault="00843F81" w:rsidP="003C23F2">
            <w:r>
              <w:t>0,4</w:t>
            </w:r>
          </w:p>
        </w:tc>
        <w:tc>
          <w:tcPr>
            <w:tcW w:w="2655" w:type="dxa"/>
            <w:shd w:val="clear" w:color="auto" w:fill="EAF1DD" w:themeFill="accent3" w:themeFillTint="33"/>
          </w:tcPr>
          <w:p w:rsidR="00843F81" w:rsidRDefault="00843F81" w:rsidP="003C23F2">
            <w:r>
              <w:t>0,0</w:t>
            </w:r>
          </w:p>
        </w:tc>
      </w:tr>
    </w:tbl>
    <w:p w:rsidR="00843F81" w:rsidRDefault="00843F81" w:rsidP="00843F81">
      <w:pPr>
        <w:spacing w:after="120" w:line="240" w:lineRule="auto"/>
      </w:pPr>
      <w:r>
        <w:t>Resultatet är samma som budget, ett överskott på 0,4 mnkr. Biljettintäkterna har ökat på grund av fler sålda föreställningar medan uthyrningen av konserthuset har minskat. På samma sätt är personalkostnaderna lägre, men kostnaden för inhyrda musiker högre.</w:t>
      </w:r>
    </w:p>
    <w:p w:rsidR="00843F81" w:rsidRPr="00A46CE9" w:rsidRDefault="00843F81" w:rsidP="004626D9">
      <w:pPr>
        <w:spacing w:after="120" w:line="240" w:lineRule="auto"/>
      </w:pPr>
    </w:p>
    <w:sectPr w:rsidR="00843F81" w:rsidRPr="00A46CE9" w:rsidSect="00FD3F34">
      <w:headerReference w:type="default" r:id="rId10"/>
      <w:footerReference w:type="default" r:id="rId11"/>
      <w:headerReference w:type="first" r:id="rId12"/>
      <w:footerReference w:type="first" r:id="rId13"/>
      <w:type w:val="continuous"/>
      <w:pgSz w:w="11906" w:h="16838" w:code="9"/>
      <w:pgMar w:top="2552" w:right="1247" w:bottom="1134" w:left="2835"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040" w:rsidRPr="009826E3" w:rsidRDefault="00871040">
      <w:r w:rsidRPr="009826E3">
        <w:separator/>
      </w:r>
    </w:p>
  </w:endnote>
  <w:endnote w:type="continuationSeparator" w:id="0">
    <w:p w:rsidR="00871040" w:rsidRPr="009826E3" w:rsidRDefault="00871040">
      <w:r w:rsidRPr="009826E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56300"/>
      <w:docPartObj>
        <w:docPartGallery w:val="Page Numbers (Bottom of Page)"/>
        <w:docPartUnique/>
      </w:docPartObj>
    </w:sdtPr>
    <w:sdtEndPr/>
    <w:sdtContent>
      <w:p w:rsidR="00871040" w:rsidRDefault="00871040">
        <w:pPr>
          <w:pStyle w:val="Sidfot"/>
          <w:jc w:val="right"/>
        </w:pPr>
        <w:r>
          <w:fldChar w:fldCharType="begin"/>
        </w:r>
        <w:r>
          <w:instrText>PAGE   \* MERGEFORMAT</w:instrText>
        </w:r>
        <w:r>
          <w:fldChar w:fldCharType="separate"/>
        </w:r>
        <w:r w:rsidR="002A6E86">
          <w:rPr>
            <w:noProof/>
          </w:rPr>
          <w:t>2</w:t>
        </w:r>
        <w:r>
          <w:fldChar w:fldCharType="end"/>
        </w:r>
      </w:p>
    </w:sdtContent>
  </w:sdt>
  <w:p w:rsidR="00871040" w:rsidRDefault="0087104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441203"/>
      <w:docPartObj>
        <w:docPartGallery w:val="Page Numbers (Bottom of Page)"/>
        <w:docPartUnique/>
      </w:docPartObj>
    </w:sdtPr>
    <w:sdtEndPr/>
    <w:sdtContent>
      <w:p w:rsidR="00871040" w:rsidRDefault="00871040">
        <w:pPr>
          <w:pStyle w:val="Sidfot"/>
          <w:jc w:val="right"/>
        </w:pPr>
        <w:r>
          <w:fldChar w:fldCharType="begin"/>
        </w:r>
        <w:r>
          <w:instrText>PAGE   \* MERGEFORMAT</w:instrText>
        </w:r>
        <w:r>
          <w:fldChar w:fldCharType="separate"/>
        </w:r>
        <w:r w:rsidR="002A6E86">
          <w:rPr>
            <w:noProof/>
          </w:rPr>
          <w:t>1</w:t>
        </w:r>
        <w:r>
          <w:fldChar w:fldCharType="end"/>
        </w:r>
      </w:p>
    </w:sdtContent>
  </w:sdt>
  <w:p w:rsidR="00871040" w:rsidRPr="009826E3" w:rsidRDefault="00871040">
    <w:pPr>
      <w:pStyle w:val="Sidfot"/>
      <w:spacing w:line="240"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040" w:rsidRPr="009826E3" w:rsidRDefault="00871040">
      <w:r w:rsidRPr="009826E3">
        <w:separator/>
      </w:r>
    </w:p>
  </w:footnote>
  <w:footnote w:type="continuationSeparator" w:id="0">
    <w:p w:rsidR="00871040" w:rsidRPr="009826E3" w:rsidRDefault="00871040">
      <w:r w:rsidRPr="009826E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135" w:tblpY="625"/>
      <w:tblW w:w="9526" w:type="dxa"/>
      <w:tblLayout w:type="fixed"/>
      <w:tblCellMar>
        <w:left w:w="0" w:type="dxa"/>
        <w:right w:w="0" w:type="dxa"/>
      </w:tblCellMar>
      <w:tblLook w:val="0000" w:firstRow="0" w:lastRow="0" w:firstColumn="0" w:lastColumn="0" w:noHBand="0" w:noVBand="0"/>
    </w:tblPr>
    <w:tblGrid>
      <w:gridCol w:w="8334"/>
      <w:gridCol w:w="1192"/>
    </w:tblGrid>
    <w:tr w:rsidR="00871040" w:rsidRPr="009826E3" w:rsidTr="002B0381">
      <w:trPr>
        <w:cantSplit/>
        <w:trHeight w:val="255"/>
      </w:trPr>
      <w:tc>
        <w:tcPr>
          <w:tcW w:w="8334" w:type="dxa"/>
          <w:vAlign w:val="bottom"/>
        </w:tcPr>
        <w:p w:rsidR="00871040" w:rsidRPr="009826E3" w:rsidRDefault="00871040" w:rsidP="008711D4">
          <w:pPr>
            <w:pStyle w:val="Dokumenttyp"/>
            <w:rPr>
              <w:b/>
            </w:rPr>
          </w:pPr>
          <w:r w:rsidRPr="009826E3">
            <w:t>VÄSTERÅS STAD</w:t>
          </w:r>
        </w:p>
      </w:tc>
      <w:tc>
        <w:tcPr>
          <w:tcW w:w="1192" w:type="dxa"/>
        </w:tcPr>
        <w:p w:rsidR="00871040" w:rsidRPr="009826E3" w:rsidRDefault="00871040" w:rsidP="008711D4">
          <w:pPr>
            <w:pStyle w:val="Sidhuvud"/>
            <w:jc w:val="right"/>
            <w:rPr>
              <w:rFonts w:ascii="Calibri" w:hAnsi="Calibri"/>
              <w:sz w:val="20"/>
              <w:szCs w:val="20"/>
            </w:rPr>
          </w:pPr>
        </w:p>
      </w:tc>
    </w:tr>
  </w:tbl>
  <w:p w:rsidR="00871040" w:rsidRPr="009826E3" w:rsidRDefault="00871040" w:rsidP="0088212F">
    <w:pPr>
      <w:pStyle w:val="Sidhuvud"/>
      <w:tabs>
        <w:tab w:val="clear" w:pos="0"/>
        <w:tab w:val="clear" w:pos="1304"/>
        <w:tab w:val="clear" w:pos="2608"/>
        <w:tab w:val="clear" w:pos="3912"/>
        <w:tab w:val="clear" w:pos="4536"/>
        <w:tab w:val="clear" w:pos="5216"/>
        <w:tab w:val="clear" w:pos="6521"/>
        <w:tab w:val="clear" w:pos="9072"/>
        <w:tab w:val="clear" w:pos="9129"/>
        <w:tab w:val="right" w:pos="7825"/>
      </w:tabs>
      <w:ind w:right="-1247"/>
      <w:rPr>
        <w:rFonts w:ascii="Calibri" w:hAnsi="Calibri"/>
        <w:cap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40" w:rsidRPr="009826E3" w:rsidRDefault="00871040" w:rsidP="00184411">
    <w:pPr>
      <w:pStyle w:val="Sidhuvud"/>
      <w:tabs>
        <w:tab w:val="clear" w:pos="0"/>
        <w:tab w:val="clear" w:pos="1304"/>
        <w:tab w:val="clear" w:pos="2608"/>
        <w:tab w:val="clear" w:pos="3912"/>
        <w:tab w:val="clear" w:pos="4536"/>
        <w:tab w:val="clear" w:pos="5216"/>
        <w:tab w:val="clear" w:pos="6521"/>
        <w:tab w:val="clear" w:pos="9072"/>
        <w:tab w:val="clear" w:pos="9129"/>
        <w:tab w:val="right" w:pos="7825"/>
      </w:tabs>
      <w:ind w:right="-1247"/>
      <w:rPr>
        <w:rFonts w:ascii="Calibri" w:hAnsi="Calibri"/>
        <w:caps/>
        <w:sz w:val="20"/>
        <w:szCs w:val="20"/>
      </w:rPr>
    </w:pPr>
    <w:r>
      <w:rPr>
        <w:rFonts w:ascii="Calibri" w:hAnsi="Calibri" w:cs="Arial"/>
        <w:caps/>
        <w:noProof/>
        <w:sz w:val="20"/>
        <w:szCs w:val="20"/>
      </w:rPr>
      <w:drawing>
        <wp:anchor distT="0" distB="0" distL="114300" distR="114300" simplePos="0" relativeHeight="251658240" behindDoc="1" locked="0" layoutInCell="1" allowOverlap="1" wp14:anchorId="51FD7B20" wp14:editId="046968D9">
          <wp:simplePos x="0" y="0"/>
          <wp:positionH relativeFrom="page">
            <wp:posOffset>719455</wp:posOffset>
          </wp:positionH>
          <wp:positionV relativeFrom="page">
            <wp:posOffset>287655</wp:posOffset>
          </wp:positionV>
          <wp:extent cx="598714" cy="827314"/>
          <wp:effectExtent l="0" t="0" r="0" b="0"/>
          <wp:wrapNone/>
          <wp:docPr id="1" name="Bildobjekt 1" descr="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714" cy="827314"/>
                  </a:xfrm>
                  <a:prstGeom prst="rect">
                    <a:avLst/>
                  </a:prstGeom>
                </pic:spPr>
              </pic:pic>
            </a:graphicData>
          </a:graphic>
        </wp:anchor>
      </w:drawing>
    </w:r>
    <w:r w:rsidRPr="009826E3">
      <w:rPr>
        <w:rFonts w:ascii="Calibri" w:hAnsi="Calibri" w:cs="Arial"/>
        <w:caps/>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82239C8"/>
    <w:lvl w:ilvl="0">
      <w:start w:val="1"/>
      <w:numFmt w:val="decimal"/>
      <w:pStyle w:val="Numreradlista"/>
      <w:lvlText w:val="%1"/>
      <w:lvlJc w:val="left"/>
      <w:pPr>
        <w:tabs>
          <w:tab w:val="num" w:pos="3028"/>
        </w:tabs>
        <w:ind w:left="3028" w:hanging="420"/>
      </w:pPr>
      <w:rPr>
        <w:rFonts w:hint="default"/>
      </w:rPr>
    </w:lvl>
  </w:abstractNum>
  <w:abstractNum w:abstractNumId="1">
    <w:nsid w:val="FFFFFF89"/>
    <w:multiLevelType w:val="singleLevel"/>
    <w:tmpl w:val="ED14D09A"/>
    <w:lvl w:ilvl="0">
      <w:start w:val="1"/>
      <w:numFmt w:val="bullet"/>
      <w:lvlText w:val=""/>
      <w:lvlJc w:val="left"/>
      <w:pPr>
        <w:tabs>
          <w:tab w:val="num" w:pos="360"/>
        </w:tabs>
        <w:ind w:left="357" w:hanging="357"/>
      </w:pPr>
      <w:rPr>
        <w:rFonts w:ascii="Symbol" w:hAnsi="Symbol" w:hint="default"/>
      </w:rPr>
    </w:lvl>
  </w:abstractNum>
  <w:abstractNum w:abstractNumId="2">
    <w:nsid w:val="05372BAF"/>
    <w:multiLevelType w:val="multilevel"/>
    <w:tmpl w:val="012431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672826"/>
    <w:multiLevelType w:val="hybridMultilevel"/>
    <w:tmpl w:val="9E8E5D88"/>
    <w:lvl w:ilvl="0" w:tplc="20DE37B6">
      <w:start w:val="1"/>
      <w:numFmt w:val="bullet"/>
      <w:pStyle w:val="Punktlista"/>
      <w:lvlText w:val=""/>
      <w:lvlJc w:val="left"/>
      <w:pPr>
        <w:tabs>
          <w:tab w:val="num" w:pos="3025"/>
        </w:tabs>
        <w:ind w:left="3022"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1A461D44"/>
    <w:multiLevelType w:val="multilevel"/>
    <w:tmpl w:val="13D64DB2"/>
    <w:lvl w:ilvl="0">
      <w:start w:val="1"/>
      <w:numFmt w:val="decimal"/>
      <w:lvlText w:val="%1."/>
      <w:lvlJc w:val="left"/>
      <w:pPr>
        <w:ind w:left="360" w:hanging="360"/>
      </w:pPr>
      <w:rPr>
        <w:rFonts w:hint="default"/>
      </w:rPr>
    </w:lvl>
    <w:lvl w:ilvl="1">
      <w:start w:val="1"/>
      <w:numFmt w:val="decimal"/>
      <w:pStyle w:val="Rubrik2-Numrering"/>
      <w:lvlText w:val="%1.%2."/>
      <w:lvlJc w:val="left"/>
      <w:pPr>
        <w:ind w:left="584" w:hanging="584"/>
      </w:pPr>
      <w:rPr>
        <w:rFonts w:hint="default"/>
      </w:rPr>
    </w:lvl>
    <w:lvl w:ilvl="2">
      <w:start w:val="1"/>
      <w:numFmt w:val="decimal"/>
      <w:pStyle w:val="Rubrik3-Numrering"/>
      <w:lvlText w:val="%1.%2.%3."/>
      <w:lvlJc w:val="left"/>
      <w:pPr>
        <w:ind w:left="811" w:hanging="811"/>
      </w:pPr>
      <w:rPr>
        <w:rFonts w:hint="default"/>
      </w:rPr>
    </w:lvl>
    <w:lvl w:ilvl="3">
      <w:start w:val="1"/>
      <w:numFmt w:val="decimal"/>
      <w:pStyle w:val="Rubrik4-Numrering"/>
      <w:lvlText w:val="%1.%2.%3.%4."/>
      <w:lvlJc w:val="left"/>
      <w:pPr>
        <w:ind w:left="1038" w:hanging="10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5C001B9"/>
    <w:multiLevelType w:val="multilevel"/>
    <w:tmpl w:val="6F080F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515D82"/>
    <w:multiLevelType w:val="multilevel"/>
    <w:tmpl w:val="400434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F92108"/>
    <w:multiLevelType w:val="multilevel"/>
    <w:tmpl w:val="E3641DB6"/>
    <w:lvl w:ilvl="0">
      <w:start w:val="1"/>
      <w:numFmt w:val="decimal"/>
      <w:pStyle w:val="Rubrik1-Numrer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1120815"/>
    <w:multiLevelType w:val="multilevel"/>
    <w:tmpl w:val="F2B828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703338"/>
    <w:multiLevelType w:val="multilevel"/>
    <w:tmpl w:val="E32CA088"/>
    <w:lvl w:ilvl="0">
      <w:start w:val="1"/>
      <w:numFmt w:val="decimal"/>
      <w:pStyle w:val="Rubriknumrerad1"/>
      <w:lvlText w:val="%1"/>
      <w:lvlJc w:val="left"/>
      <w:pPr>
        <w:tabs>
          <w:tab w:val="num" w:pos="1304"/>
        </w:tabs>
        <w:ind w:left="1304" w:hanging="1304"/>
      </w:pPr>
      <w:rPr>
        <w:rFonts w:hint="default"/>
      </w:rPr>
    </w:lvl>
    <w:lvl w:ilvl="1">
      <w:start w:val="1"/>
      <w:numFmt w:val="decimal"/>
      <w:pStyle w:val="Rubriknumrerad11"/>
      <w:lvlText w:val="%1.%2"/>
      <w:lvlJc w:val="left"/>
      <w:pPr>
        <w:tabs>
          <w:tab w:val="num" w:pos="1304"/>
        </w:tabs>
        <w:ind w:left="1304" w:hanging="1304"/>
      </w:pPr>
      <w:rPr>
        <w:rFonts w:hint="default"/>
      </w:rPr>
    </w:lvl>
    <w:lvl w:ilvl="2">
      <w:start w:val="1"/>
      <w:numFmt w:val="decimal"/>
      <w:pStyle w:val="Rubriknumrerad111"/>
      <w:lvlText w:val="%1.%2.%3"/>
      <w:lvlJc w:val="left"/>
      <w:pPr>
        <w:tabs>
          <w:tab w:val="num" w:pos="1304"/>
        </w:tabs>
        <w:ind w:left="1304" w:hanging="130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4B02B10"/>
    <w:multiLevelType w:val="multilevel"/>
    <w:tmpl w:val="715EC0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D04127E"/>
    <w:multiLevelType w:val="multilevel"/>
    <w:tmpl w:val="C0F8919E"/>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6212EB2"/>
    <w:multiLevelType w:val="hybridMultilevel"/>
    <w:tmpl w:val="0ED68F3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F0D66F0"/>
    <w:multiLevelType w:val="hybridMultilevel"/>
    <w:tmpl w:val="14C0819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9"/>
  </w:num>
  <w:num w:numId="5">
    <w:abstractNumId w:val="9"/>
  </w:num>
  <w:num w:numId="6">
    <w:abstractNumId w:val="3"/>
  </w:num>
  <w:num w:numId="7">
    <w:abstractNumId w:val="0"/>
  </w:num>
  <w:num w:numId="8">
    <w:abstractNumId w:val="3"/>
  </w:num>
  <w:num w:numId="9">
    <w:abstractNumId w:val="9"/>
  </w:num>
  <w:num w:numId="10">
    <w:abstractNumId w:val="9"/>
  </w:num>
  <w:num w:numId="11">
    <w:abstractNumId w:val="9"/>
  </w:num>
  <w:num w:numId="12">
    <w:abstractNumId w:val="11"/>
  </w:num>
  <w:num w:numId="13">
    <w:abstractNumId w:val="9"/>
  </w:num>
  <w:num w:numId="14">
    <w:abstractNumId w:val="9"/>
  </w:num>
  <w:num w:numId="15">
    <w:abstractNumId w:val="9"/>
  </w:num>
  <w:num w:numId="16">
    <w:abstractNumId w:val="7"/>
  </w:num>
  <w:num w:numId="17">
    <w:abstractNumId w:val="10"/>
  </w:num>
  <w:num w:numId="18">
    <w:abstractNumId w:val="8"/>
  </w:num>
  <w:num w:numId="19">
    <w:abstractNumId w:val="5"/>
  </w:num>
  <w:num w:numId="20">
    <w:abstractNumId w:val="2"/>
  </w:num>
  <w:num w:numId="21">
    <w:abstractNumId w:val="4"/>
  </w:num>
  <w:num w:numId="22">
    <w:abstractNumId w:val="6"/>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sv-SE" w:vendorID="666" w:dllVersion="513" w:checkStyle="1"/>
  <w:activeWritingStyle w:appName="MSWord" w:lang="sv-SE" w:vendorID="22" w:dllVersion="513"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achedTemplatePath" w:val="Tom med logotyp.dotm"/>
    <w:docVar w:name="CreatedWithDtVersion" w:val="2.3.017"/>
    <w:docVar w:name="DocumentCreated" w:val="DocumentCreated"/>
    <w:docVar w:name="DocumentCreatedOK" w:val="DocumentCreatedOK"/>
    <w:docVar w:name="DocumentInitialized" w:val="OK"/>
    <w:docVar w:name="IntegrationType" w:val="StandAlone"/>
  </w:docVars>
  <w:rsids>
    <w:rsidRoot w:val="009826E3"/>
    <w:rsid w:val="00001C48"/>
    <w:rsid w:val="00001DD9"/>
    <w:rsid w:val="00003F72"/>
    <w:rsid w:val="00004DD3"/>
    <w:rsid w:val="00005021"/>
    <w:rsid w:val="00023849"/>
    <w:rsid w:val="00024D89"/>
    <w:rsid w:val="000277AE"/>
    <w:rsid w:val="0003584F"/>
    <w:rsid w:val="00041558"/>
    <w:rsid w:val="000607FF"/>
    <w:rsid w:val="00062074"/>
    <w:rsid w:val="00063885"/>
    <w:rsid w:val="000651C7"/>
    <w:rsid w:val="00067389"/>
    <w:rsid w:val="00067C74"/>
    <w:rsid w:val="00072D66"/>
    <w:rsid w:val="000775ED"/>
    <w:rsid w:val="00083707"/>
    <w:rsid w:val="00093918"/>
    <w:rsid w:val="00094C02"/>
    <w:rsid w:val="00097878"/>
    <w:rsid w:val="000A178C"/>
    <w:rsid w:val="000A2AE2"/>
    <w:rsid w:val="000C0504"/>
    <w:rsid w:val="000D7220"/>
    <w:rsid w:val="000F0190"/>
    <w:rsid w:val="000F0816"/>
    <w:rsid w:val="00101506"/>
    <w:rsid w:val="001019EC"/>
    <w:rsid w:val="0011528E"/>
    <w:rsid w:val="00124448"/>
    <w:rsid w:val="00131FD0"/>
    <w:rsid w:val="00132CDB"/>
    <w:rsid w:val="001356EE"/>
    <w:rsid w:val="00135F21"/>
    <w:rsid w:val="00136E4C"/>
    <w:rsid w:val="001439D7"/>
    <w:rsid w:val="001473A4"/>
    <w:rsid w:val="00150AE6"/>
    <w:rsid w:val="00150C1B"/>
    <w:rsid w:val="0015315A"/>
    <w:rsid w:val="00154E91"/>
    <w:rsid w:val="00171E4C"/>
    <w:rsid w:val="0017702B"/>
    <w:rsid w:val="00180EAD"/>
    <w:rsid w:val="00184411"/>
    <w:rsid w:val="00193C7C"/>
    <w:rsid w:val="00194B9C"/>
    <w:rsid w:val="001A04D0"/>
    <w:rsid w:val="001A2D15"/>
    <w:rsid w:val="001A46FF"/>
    <w:rsid w:val="001A7B6F"/>
    <w:rsid w:val="001B2108"/>
    <w:rsid w:val="001B3326"/>
    <w:rsid w:val="001B360B"/>
    <w:rsid w:val="001B60AB"/>
    <w:rsid w:val="001B62ED"/>
    <w:rsid w:val="001D5FA6"/>
    <w:rsid w:val="001E4DAE"/>
    <w:rsid w:val="001F031A"/>
    <w:rsid w:val="001F0E9F"/>
    <w:rsid w:val="001F2F00"/>
    <w:rsid w:val="001F60F4"/>
    <w:rsid w:val="00202E5E"/>
    <w:rsid w:val="00206940"/>
    <w:rsid w:val="002136EB"/>
    <w:rsid w:val="00213838"/>
    <w:rsid w:val="002206D6"/>
    <w:rsid w:val="00221463"/>
    <w:rsid w:val="00222B1E"/>
    <w:rsid w:val="00222FB0"/>
    <w:rsid w:val="00234613"/>
    <w:rsid w:val="0023660F"/>
    <w:rsid w:val="00246DF7"/>
    <w:rsid w:val="00250ABF"/>
    <w:rsid w:val="00272A93"/>
    <w:rsid w:val="002733AA"/>
    <w:rsid w:val="00280265"/>
    <w:rsid w:val="002A0AF3"/>
    <w:rsid w:val="002A31BF"/>
    <w:rsid w:val="002A378B"/>
    <w:rsid w:val="002A6E86"/>
    <w:rsid w:val="002B0381"/>
    <w:rsid w:val="002B1342"/>
    <w:rsid w:val="002B4D40"/>
    <w:rsid w:val="002C5A4E"/>
    <w:rsid w:val="002C760B"/>
    <w:rsid w:val="002C77E7"/>
    <w:rsid w:val="002D431D"/>
    <w:rsid w:val="002D5477"/>
    <w:rsid w:val="002D73F3"/>
    <w:rsid w:val="002E5440"/>
    <w:rsid w:val="002E75E9"/>
    <w:rsid w:val="002F0542"/>
    <w:rsid w:val="002F416E"/>
    <w:rsid w:val="00302DE8"/>
    <w:rsid w:val="00306DE1"/>
    <w:rsid w:val="00330F86"/>
    <w:rsid w:val="003337B9"/>
    <w:rsid w:val="00333B19"/>
    <w:rsid w:val="0033562F"/>
    <w:rsid w:val="00335E5F"/>
    <w:rsid w:val="003447F5"/>
    <w:rsid w:val="00350139"/>
    <w:rsid w:val="00352907"/>
    <w:rsid w:val="00355068"/>
    <w:rsid w:val="0035626D"/>
    <w:rsid w:val="00357E56"/>
    <w:rsid w:val="0036004B"/>
    <w:rsid w:val="0036462E"/>
    <w:rsid w:val="00370001"/>
    <w:rsid w:val="0037135C"/>
    <w:rsid w:val="003739AC"/>
    <w:rsid w:val="00377330"/>
    <w:rsid w:val="00383761"/>
    <w:rsid w:val="003905B1"/>
    <w:rsid w:val="00391F3A"/>
    <w:rsid w:val="0039676C"/>
    <w:rsid w:val="003A75CF"/>
    <w:rsid w:val="003C1722"/>
    <w:rsid w:val="003C23F2"/>
    <w:rsid w:val="003D368E"/>
    <w:rsid w:val="003E0938"/>
    <w:rsid w:val="003E44AC"/>
    <w:rsid w:val="00404E43"/>
    <w:rsid w:val="00417A30"/>
    <w:rsid w:val="00422352"/>
    <w:rsid w:val="00422429"/>
    <w:rsid w:val="0042467E"/>
    <w:rsid w:val="004274F0"/>
    <w:rsid w:val="004349D6"/>
    <w:rsid w:val="00444568"/>
    <w:rsid w:val="004565D9"/>
    <w:rsid w:val="00460E18"/>
    <w:rsid w:val="004626D9"/>
    <w:rsid w:val="00465363"/>
    <w:rsid w:val="00477C62"/>
    <w:rsid w:val="00480660"/>
    <w:rsid w:val="00490568"/>
    <w:rsid w:val="00496965"/>
    <w:rsid w:val="004B036C"/>
    <w:rsid w:val="004D069F"/>
    <w:rsid w:val="004D2D6E"/>
    <w:rsid w:val="004E0CF3"/>
    <w:rsid w:val="004E796B"/>
    <w:rsid w:val="004F289B"/>
    <w:rsid w:val="0050648E"/>
    <w:rsid w:val="005139C7"/>
    <w:rsid w:val="0051409C"/>
    <w:rsid w:val="005176D9"/>
    <w:rsid w:val="00524906"/>
    <w:rsid w:val="00525E9F"/>
    <w:rsid w:val="00526015"/>
    <w:rsid w:val="00543477"/>
    <w:rsid w:val="00550E0C"/>
    <w:rsid w:val="00553DF9"/>
    <w:rsid w:val="005546FE"/>
    <w:rsid w:val="00555F56"/>
    <w:rsid w:val="00557225"/>
    <w:rsid w:val="005601D7"/>
    <w:rsid w:val="00566E71"/>
    <w:rsid w:val="00584046"/>
    <w:rsid w:val="00591675"/>
    <w:rsid w:val="005C5215"/>
    <w:rsid w:val="005C57AE"/>
    <w:rsid w:val="005D7F0A"/>
    <w:rsid w:val="005F5C20"/>
    <w:rsid w:val="005F7CB9"/>
    <w:rsid w:val="00617CA0"/>
    <w:rsid w:val="00621892"/>
    <w:rsid w:val="00622D91"/>
    <w:rsid w:val="00623E59"/>
    <w:rsid w:val="0062556B"/>
    <w:rsid w:val="0062614B"/>
    <w:rsid w:val="006315FE"/>
    <w:rsid w:val="00631A4C"/>
    <w:rsid w:val="00631F65"/>
    <w:rsid w:val="00642132"/>
    <w:rsid w:val="00642512"/>
    <w:rsid w:val="00642BBD"/>
    <w:rsid w:val="00644675"/>
    <w:rsid w:val="00651F6D"/>
    <w:rsid w:val="00653E74"/>
    <w:rsid w:val="00656060"/>
    <w:rsid w:val="00674FA9"/>
    <w:rsid w:val="00677D69"/>
    <w:rsid w:val="00677DB6"/>
    <w:rsid w:val="0068268A"/>
    <w:rsid w:val="00685674"/>
    <w:rsid w:val="00693572"/>
    <w:rsid w:val="00696A61"/>
    <w:rsid w:val="00697561"/>
    <w:rsid w:val="006A633B"/>
    <w:rsid w:val="006A6DDC"/>
    <w:rsid w:val="006B02B1"/>
    <w:rsid w:val="006B3753"/>
    <w:rsid w:val="006B3773"/>
    <w:rsid w:val="006B5DB0"/>
    <w:rsid w:val="006C3A7C"/>
    <w:rsid w:val="006C4259"/>
    <w:rsid w:val="006C518A"/>
    <w:rsid w:val="006D2CA2"/>
    <w:rsid w:val="006D7373"/>
    <w:rsid w:val="006F3138"/>
    <w:rsid w:val="006F3212"/>
    <w:rsid w:val="0070025D"/>
    <w:rsid w:val="00703C17"/>
    <w:rsid w:val="00705024"/>
    <w:rsid w:val="0071234F"/>
    <w:rsid w:val="00717807"/>
    <w:rsid w:val="00724174"/>
    <w:rsid w:val="00725E71"/>
    <w:rsid w:val="007307C2"/>
    <w:rsid w:val="00732B44"/>
    <w:rsid w:val="007501F9"/>
    <w:rsid w:val="007502FA"/>
    <w:rsid w:val="00755F16"/>
    <w:rsid w:val="007638C4"/>
    <w:rsid w:val="00771995"/>
    <w:rsid w:val="00790720"/>
    <w:rsid w:val="00792D86"/>
    <w:rsid w:val="007943C0"/>
    <w:rsid w:val="00794531"/>
    <w:rsid w:val="00797996"/>
    <w:rsid w:val="007A236D"/>
    <w:rsid w:val="007A3F26"/>
    <w:rsid w:val="007A55C1"/>
    <w:rsid w:val="007B6CD6"/>
    <w:rsid w:val="007D5B75"/>
    <w:rsid w:val="00804BDF"/>
    <w:rsid w:val="00805BA8"/>
    <w:rsid w:val="00814ED3"/>
    <w:rsid w:val="0082300E"/>
    <w:rsid w:val="0082717A"/>
    <w:rsid w:val="008364B0"/>
    <w:rsid w:val="008437C8"/>
    <w:rsid w:val="00843F81"/>
    <w:rsid w:val="008457C7"/>
    <w:rsid w:val="00851600"/>
    <w:rsid w:val="008525A5"/>
    <w:rsid w:val="00856226"/>
    <w:rsid w:val="0086223A"/>
    <w:rsid w:val="0086690D"/>
    <w:rsid w:val="00871040"/>
    <w:rsid w:val="008711D4"/>
    <w:rsid w:val="008719AD"/>
    <w:rsid w:val="00872946"/>
    <w:rsid w:val="008743A6"/>
    <w:rsid w:val="00874872"/>
    <w:rsid w:val="00874E39"/>
    <w:rsid w:val="0087520A"/>
    <w:rsid w:val="0088043F"/>
    <w:rsid w:val="0088212F"/>
    <w:rsid w:val="00882A52"/>
    <w:rsid w:val="00882B18"/>
    <w:rsid w:val="0089512B"/>
    <w:rsid w:val="008A57F6"/>
    <w:rsid w:val="008D22F1"/>
    <w:rsid w:val="008D4877"/>
    <w:rsid w:val="008D7CA0"/>
    <w:rsid w:val="008E07AA"/>
    <w:rsid w:val="008E1F08"/>
    <w:rsid w:val="008E6579"/>
    <w:rsid w:val="008E7FDE"/>
    <w:rsid w:val="008F34B5"/>
    <w:rsid w:val="0090061A"/>
    <w:rsid w:val="0090235D"/>
    <w:rsid w:val="009035DE"/>
    <w:rsid w:val="00903924"/>
    <w:rsid w:val="009473AF"/>
    <w:rsid w:val="009535F1"/>
    <w:rsid w:val="0095728D"/>
    <w:rsid w:val="00962CD5"/>
    <w:rsid w:val="00971037"/>
    <w:rsid w:val="00973A4D"/>
    <w:rsid w:val="00977202"/>
    <w:rsid w:val="00981163"/>
    <w:rsid w:val="009811A6"/>
    <w:rsid w:val="00981AD1"/>
    <w:rsid w:val="009826E3"/>
    <w:rsid w:val="00983856"/>
    <w:rsid w:val="00983F67"/>
    <w:rsid w:val="0099418B"/>
    <w:rsid w:val="00994E7E"/>
    <w:rsid w:val="00995FFB"/>
    <w:rsid w:val="00996438"/>
    <w:rsid w:val="009A5AE3"/>
    <w:rsid w:val="009A5E9B"/>
    <w:rsid w:val="009A7DD2"/>
    <w:rsid w:val="009B0ADC"/>
    <w:rsid w:val="009C33C5"/>
    <w:rsid w:val="009C5D22"/>
    <w:rsid w:val="009C5DDA"/>
    <w:rsid w:val="009D140F"/>
    <w:rsid w:val="009D6E29"/>
    <w:rsid w:val="009E3861"/>
    <w:rsid w:val="009E3ADB"/>
    <w:rsid w:val="009E3C06"/>
    <w:rsid w:val="009E7103"/>
    <w:rsid w:val="009E73FF"/>
    <w:rsid w:val="009F01B5"/>
    <w:rsid w:val="009F5CF2"/>
    <w:rsid w:val="009F78FD"/>
    <w:rsid w:val="00A004D0"/>
    <w:rsid w:val="00A022DC"/>
    <w:rsid w:val="00A20AAA"/>
    <w:rsid w:val="00A24C9A"/>
    <w:rsid w:val="00A31392"/>
    <w:rsid w:val="00A46CE9"/>
    <w:rsid w:val="00A5672B"/>
    <w:rsid w:val="00A609A5"/>
    <w:rsid w:val="00A627C8"/>
    <w:rsid w:val="00A66F35"/>
    <w:rsid w:val="00A70C59"/>
    <w:rsid w:val="00A750F6"/>
    <w:rsid w:val="00A76D11"/>
    <w:rsid w:val="00A802FA"/>
    <w:rsid w:val="00A82A58"/>
    <w:rsid w:val="00A91FEC"/>
    <w:rsid w:val="00A973AF"/>
    <w:rsid w:val="00AA588E"/>
    <w:rsid w:val="00AB3198"/>
    <w:rsid w:val="00AB7959"/>
    <w:rsid w:val="00AC01E7"/>
    <w:rsid w:val="00AE05FE"/>
    <w:rsid w:val="00AE1889"/>
    <w:rsid w:val="00AE21B8"/>
    <w:rsid w:val="00AE5CC8"/>
    <w:rsid w:val="00AE76DC"/>
    <w:rsid w:val="00AF3BC1"/>
    <w:rsid w:val="00AF6BD5"/>
    <w:rsid w:val="00B002DF"/>
    <w:rsid w:val="00B015BD"/>
    <w:rsid w:val="00B020D1"/>
    <w:rsid w:val="00B04291"/>
    <w:rsid w:val="00B11E18"/>
    <w:rsid w:val="00B1499F"/>
    <w:rsid w:val="00B21339"/>
    <w:rsid w:val="00B25934"/>
    <w:rsid w:val="00B30851"/>
    <w:rsid w:val="00B32ACC"/>
    <w:rsid w:val="00B40170"/>
    <w:rsid w:val="00B51D19"/>
    <w:rsid w:val="00B714B9"/>
    <w:rsid w:val="00B8565E"/>
    <w:rsid w:val="00B90731"/>
    <w:rsid w:val="00B913B7"/>
    <w:rsid w:val="00B9176A"/>
    <w:rsid w:val="00B9240A"/>
    <w:rsid w:val="00B96B55"/>
    <w:rsid w:val="00BA486C"/>
    <w:rsid w:val="00BC6FFC"/>
    <w:rsid w:val="00BC7579"/>
    <w:rsid w:val="00BC779C"/>
    <w:rsid w:val="00BE63D4"/>
    <w:rsid w:val="00BE640B"/>
    <w:rsid w:val="00BF2061"/>
    <w:rsid w:val="00BF470E"/>
    <w:rsid w:val="00C041FC"/>
    <w:rsid w:val="00C2379D"/>
    <w:rsid w:val="00C245AA"/>
    <w:rsid w:val="00C26704"/>
    <w:rsid w:val="00C34DB1"/>
    <w:rsid w:val="00C3606D"/>
    <w:rsid w:val="00C372F5"/>
    <w:rsid w:val="00C42732"/>
    <w:rsid w:val="00C60356"/>
    <w:rsid w:val="00C61442"/>
    <w:rsid w:val="00C715BF"/>
    <w:rsid w:val="00C81CA7"/>
    <w:rsid w:val="00C8368A"/>
    <w:rsid w:val="00C97259"/>
    <w:rsid w:val="00CA6F2D"/>
    <w:rsid w:val="00CC0CB7"/>
    <w:rsid w:val="00CC1C55"/>
    <w:rsid w:val="00CC2091"/>
    <w:rsid w:val="00CD2B38"/>
    <w:rsid w:val="00CE5A6C"/>
    <w:rsid w:val="00CE6E8E"/>
    <w:rsid w:val="00CF66EF"/>
    <w:rsid w:val="00D0012A"/>
    <w:rsid w:val="00D047B9"/>
    <w:rsid w:val="00D04D8F"/>
    <w:rsid w:val="00D06D1F"/>
    <w:rsid w:val="00D1609A"/>
    <w:rsid w:val="00D1680E"/>
    <w:rsid w:val="00D25C08"/>
    <w:rsid w:val="00D302E0"/>
    <w:rsid w:val="00D311F3"/>
    <w:rsid w:val="00D4402E"/>
    <w:rsid w:val="00D471A2"/>
    <w:rsid w:val="00D57601"/>
    <w:rsid w:val="00D65E9D"/>
    <w:rsid w:val="00D7019B"/>
    <w:rsid w:val="00D8246D"/>
    <w:rsid w:val="00D84E55"/>
    <w:rsid w:val="00D85CC8"/>
    <w:rsid w:val="00D87459"/>
    <w:rsid w:val="00D87DDA"/>
    <w:rsid w:val="00D90E8B"/>
    <w:rsid w:val="00D92D1F"/>
    <w:rsid w:val="00D92FCA"/>
    <w:rsid w:val="00D94190"/>
    <w:rsid w:val="00D967F1"/>
    <w:rsid w:val="00DA052D"/>
    <w:rsid w:val="00DA0E71"/>
    <w:rsid w:val="00DE0FE8"/>
    <w:rsid w:val="00DE3AFF"/>
    <w:rsid w:val="00DE3B37"/>
    <w:rsid w:val="00DF6410"/>
    <w:rsid w:val="00E02674"/>
    <w:rsid w:val="00E032E2"/>
    <w:rsid w:val="00E032E8"/>
    <w:rsid w:val="00E04F59"/>
    <w:rsid w:val="00E11EC0"/>
    <w:rsid w:val="00E166C2"/>
    <w:rsid w:val="00E24B71"/>
    <w:rsid w:val="00E42B4B"/>
    <w:rsid w:val="00E46EBD"/>
    <w:rsid w:val="00E61763"/>
    <w:rsid w:val="00E66DEC"/>
    <w:rsid w:val="00E6733F"/>
    <w:rsid w:val="00E75856"/>
    <w:rsid w:val="00E8597F"/>
    <w:rsid w:val="00E86214"/>
    <w:rsid w:val="00E877A1"/>
    <w:rsid w:val="00E906DB"/>
    <w:rsid w:val="00EA2090"/>
    <w:rsid w:val="00EA3AAE"/>
    <w:rsid w:val="00EA6E10"/>
    <w:rsid w:val="00EE20AE"/>
    <w:rsid w:val="00EE6F68"/>
    <w:rsid w:val="00EF2D5A"/>
    <w:rsid w:val="00F00367"/>
    <w:rsid w:val="00F167E7"/>
    <w:rsid w:val="00F212C5"/>
    <w:rsid w:val="00F23FAA"/>
    <w:rsid w:val="00F25F37"/>
    <w:rsid w:val="00F304FF"/>
    <w:rsid w:val="00F37FF1"/>
    <w:rsid w:val="00F432B8"/>
    <w:rsid w:val="00F43655"/>
    <w:rsid w:val="00F44F24"/>
    <w:rsid w:val="00F5380C"/>
    <w:rsid w:val="00F5387F"/>
    <w:rsid w:val="00F54A9D"/>
    <w:rsid w:val="00F6473C"/>
    <w:rsid w:val="00F76741"/>
    <w:rsid w:val="00F77BBD"/>
    <w:rsid w:val="00F8657C"/>
    <w:rsid w:val="00F92D83"/>
    <w:rsid w:val="00F955A9"/>
    <w:rsid w:val="00FA0CE9"/>
    <w:rsid w:val="00FA5484"/>
    <w:rsid w:val="00FA7DCE"/>
    <w:rsid w:val="00FD3EB5"/>
    <w:rsid w:val="00FD3F34"/>
    <w:rsid w:val="00FE7AD8"/>
    <w:rsid w:val="00FF6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2946"/>
    <w:pPr>
      <w:tabs>
        <w:tab w:val="left" w:pos="0"/>
        <w:tab w:val="left" w:pos="1304"/>
        <w:tab w:val="left" w:pos="2608"/>
        <w:tab w:val="left" w:pos="3912"/>
        <w:tab w:val="left" w:pos="5216"/>
        <w:tab w:val="left" w:pos="6521"/>
        <w:tab w:val="left" w:pos="7825"/>
        <w:tab w:val="left" w:pos="9129"/>
      </w:tabs>
      <w:spacing w:line="288" w:lineRule="auto"/>
    </w:pPr>
    <w:rPr>
      <w:rFonts w:ascii="Calibri" w:hAnsi="Calibri"/>
      <w:sz w:val="22"/>
      <w:szCs w:val="24"/>
    </w:rPr>
  </w:style>
  <w:style w:type="paragraph" w:styleId="Rubrik1">
    <w:name w:val="heading 1"/>
    <w:basedOn w:val="Normal"/>
    <w:next w:val="Normal"/>
    <w:qFormat/>
    <w:rsid w:val="00642512"/>
    <w:pPr>
      <w:keepNext/>
      <w:spacing w:before="240" w:after="120" w:line="280" w:lineRule="atLeast"/>
      <w:outlineLvl w:val="0"/>
    </w:pPr>
    <w:rPr>
      <w:kern w:val="32"/>
      <w:sz w:val="36"/>
    </w:rPr>
  </w:style>
  <w:style w:type="paragraph" w:styleId="Rubrik2">
    <w:name w:val="heading 2"/>
    <w:basedOn w:val="Normal"/>
    <w:next w:val="Normal"/>
    <w:qFormat/>
    <w:rsid w:val="007638C4"/>
    <w:pPr>
      <w:keepNext/>
      <w:spacing w:after="60" w:line="270" w:lineRule="exact"/>
      <w:outlineLvl w:val="1"/>
    </w:pPr>
    <w:rPr>
      <w:b/>
      <w:caps/>
      <w:sz w:val="25"/>
    </w:rPr>
  </w:style>
  <w:style w:type="paragraph" w:styleId="Rubrik3">
    <w:name w:val="heading 3"/>
    <w:basedOn w:val="Normal"/>
    <w:next w:val="Normal"/>
    <w:qFormat/>
    <w:rsid w:val="006C518A"/>
    <w:pPr>
      <w:keepNext/>
      <w:spacing w:before="240" w:after="60" w:line="260" w:lineRule="exact"/>
      <w:outlineLvl w:val="2"/>
    </w:pPr>
    <w:rPr>
      <w:b/>
    </w:rPr>
  </w:style>
  <w:style w:type="paragraph" w:styleId="Rubrik4">
    <w:name w:val="heading 4"/>
    <w:basedOn w:val="Normal"/>
    <w:next w:val="Normal"/>
    <w:qFormat/>
    <w:rsid w:val="001E4DAE"/>
    <w:pPr>
      <w:keepNext/>
      <w:spacing w:after="60" w:line="270" w:lineRule="exact"/>
      <w:outlineLvl w:val="3"/>
    </w:pPr>
    <w:rPr>
      <w:bCs/>
      <w:i/>
      <w:szCs w:val="28"/>
    </w:rPr>
  </w:style>
  <w:style w:type="paragraph" w:styleId="Rubrik5">
    <w:name w:val="heading 5"/>
    <w:basedOn w:val="Normal"/>
    <w:next w:val="Normal"/>
    <w:pPr>
      <w:keepNext/>
      <w:spacing w:before="120" w:after="100"/>
      <w:outlineLvl w:val="4"/>
    </w:pPr>
    <w:rPr>
      <w:bCs/>
      <w:i/>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edtext">
    <w:name w:val="Ledtext"/>
    <w:basedOn w:val="Normal"/>
    <w:semiHidden/>
    <w:pPr>
      <w:spacing w:line="180" w:lineRule="exact"/>
    </w:pPr>
    <w:rPr>
      <w:rFonts w:ascii="Arial" w:hAnsi="Arial"/>
      <w:sz w:val="16"/>
    </w:rPr>
  </w:style>
  <w:style w:type="paragraph" w:styleId="Sidhuvud">
    <w:name w:val="header"/>
    <w:basedOn w:val="Normal"/>
    <w:link w:val="SidhuvudChar"/>
    <w:uiPriority w:val="99"/>
    <w:rsid w:val="00B40170"/>
    <w:pPr>
      <w:tabs>
        <w:tab w:val="center" w:pos="4536"/>
        <w:tab w:val="right" w:pos="9072"/>
      </w:tabs>
    </w:pPr>
    <w:rPr>
      <w:rFonts w:ascii="Times New Roman" w:hAnsi="Times New Roman"/>
      <w:szCs w:val="22"/>
    </w:rPr>
  </w:style>
  <w:style w:type="paragraph" w:styleId="Sidfot">
    <w:name w:val="footer"/>
    <w:basedOn w:val="Normal"/>
    <w:link w:val="SidfotChar"/>
    <w:uiPriority w:val="99"/>
    <w:pPr>
      <w:tabs>
        <w:tab w:val="center" w:pos="4536"/>
        <w:tab w:val="right" w:pos="9072"/>
      </w:tabs>
    </w:pPr>
    <w:rPr>
      <w:rFonts w:ascii="Arial" w:hAnsi="Arial"/>
      <w:sz w:val="16"/>
    </w:rPr>
  </w:style>
  <w:style w:type="character" w:styleId="Sidnummer">
    <w:name w:val="page number"/>
    <w:basedOn w:val="Standardstycketeckensnitt"/>
    <w:semiHidden/>
  </w:style>
  <w:style w:type="paragraph" w:customStyle="1" w:styleId="Doldtext">
    <w:name w:val="Doldtext"/>
    <w:basedOn w:val="Normal"/>
    <w:semiHidden/>
    <w:pPr>
      <w:spacing w:line="240" w:lineRule="auto"/>
    </w:pPr>
    <w:rPr>
      <w:rFonts w:ascii="Arial" w:hAnsi="Arial"/>
      <w:noProof/>
      <w:vanish/>
      <w:color w:val="0000FF"/>
      <w:sz w:val="20"/>
    </w:rPr>
  </w:style>
  <w:style w:type="paragraph" w:customStyle="1" w:styleId="Indrag">
    <w:name w:val="Indrag"/>
    <w:basedOn w:val="Normal"/>
    <w:next w:val="Normal"/>
    <w:rsid w:val="009C5DDA"/>
    <w:pPr>
      <w:ind w:left="3912"/>
    </w:pPr>
  </w:style>
  <w:style w:type="paragraph" w:customStyle="1" w:styleId="Status">
    <w:name w:val="Status"/>
    <w:basedOn w:val="Normal"/>
    <w:semiHidden/>
  </w:style>
  <w:style w:type="paragraph" w:customStyle="1" w:styleId="Bilaga">
    <w:name w:val="Bilaga"/>
    <w:basedOn w:val="Normal"/>
    <w:next w:val="Normal"/>
    <w:semiHidden/>
    <w:rsid w:val="00EA6E10"/>
  </w:style>
  <w:style w:type="paragraph" w:customStyle="1" w:styleId="Dokumenttyp">
    <w:name w:val="Dokumenttyp"/>
    <w:basedOn w:val="Normal"/>
    <w:semiHidden/>
    <w:rPr>
      <w:caps/>
      <w:szCs w:val="22"/>
    </w:rPr>
  </w:style>
  <w:style w:type="paragraph" w:styleId="Numreradlista">
    <w:name w:val="List Number"/>
    <w:basedOn w:val="Normal"/>
    <w:autoRedefine/>
    <w:rsid w:val="00AE05FE"/>
    <w:pPr>
      <w:numPr>
        <w:numId w:val="7"/>
      </w:numPr>
      <w:ind w:left="420"/>
    </w:pPr>
  </w:style>
  <w:style w:type="paragraph" w:styleId="Punktlista">
    <w:name w:val="List Bullet"/>
    <w:basedOn w:val="Normal"/>
    <w:autoRedefine/>
    <w:rsid w:val="00AE05FE"/>
    <w:pPr>
      <w:numPr>
        <w:numId w:val="8"/>
      </w:numPr>
      <w:ind w:left="357"/>
    </w:pPr>
    <w:rPr>
      <w:noProof/>
    </w:rPr>
  </w:style>
  <w:style w:type="character" w:styleId="Hyperlnk">
    <w:name w:val="Hyperlink"/>
    <w:basedOn w:val="Standardstycketeckensnitt"/>
    <w:semiHidden/>
    <w:rsid w:val="005D7F0A"/>
    <w:rPr>
      <w:color w:val="0000FF"/>
      <w:u w:val="single"/>
    </w:rPr>
  </w:style>
  <w:style w:type="paragraph" w:customStyle="1" w:styleId="Rubriknumrerad1">
    <w:name w:val="Rubrik_numrerad_1"/>
    <w:basedOn w:val="Normal"/>
    <w:next w:val="Normal"/>
    <w:autoRedefine/>
    <w:rsid w:val="00AE05FE"/>
    <w:pPr>
      <w:keepNext/>
      <w:numPr>
        <w:numId w:val="15"/>
      </w:numPr>
      <w:tabs>
        <w:tab w:val="clear" w:pos="1304"/>
        <w:tab w:val="num" w:pos="360"/>
      </w:tabs>
      <w:spacing w:after="120" w:line="270" w:lineRule="exact"/>
      <w:ind w:left="0" w:firstLine="0"/>
    </w:pPr>
    <w:rPr>
      <w:b/>
      <w:sz w:val="24"/>
    </w:rPr>
  </w:style>
  <w:style w:type="paragraph" w:customStyle="1" w:styleId="Rubriknumrerad11">
    <w:name w:val="Rubrik_numrerad_1.1"/>
    <w:basedOn w:val="Normal"/>
    <w:next w:val="Normal"/>
    <w:autoRedefine/>
    <w:rsid w:val="00AE05FE"/>
    <w:pPr>
      <w:numPr>
        <w:ilvl w:val="1"/>
        <w:numId w:val="15"/>
      </w:numPr>
      <w:tabs>
        <w:tab w:val="clear" w:pos="1304"/>
        <w:tab w:val="num" w:pos="360"/>
      </w:tabs>
      <w:spacing w:after="120" w:line="270" w:lineRule="exact"/>
      <w:ind w:left="0" w:firstLine="0"/>
    </w:pPr>
    <w:rPr>
      <w:b/>
      <w:sz w:val="24"/>
    </w:rPr>
  </w:style>
  <w:style w:type="character" w:customStyle="1" w:styleId="Datumfast">
    <w:name w:val="Datum_fast"/>
    <w:basedOn w:val="Standardstycketeckensnitt"/>
    <w:semiHidden/>
    <w:rPr>
      <w:rFonts w:ascii="Times New Roman" w:hAnsi="Times New Roman"/>
      <w:sz w:val="22"/>
    </w:rPr>
  </w:style>
  <w:style w:type="paragraph" w:customStyle="1" w:styleId="Rubriknumrerad111">
    <w:name w:val="Rubrik_numrerad_1.1.1"/>
    <w:basedOn w:val="Normal"/>
    <w:next w:val="Normal"/>
    <w:autoRedefine/>
    <w:rsid w:val="00AE05FE"/>
    <w:pPr>
      <w:numPr>
        <w:ilvl w:val="2"/>
        <w:numId w:val="15"/>
      </w:numPr>
      <w:tabs>
        <w:tab w:val="clear" w:pos="1304"/>
        <w:tab w:val="num" w:pos="360"/>
      </w:tabs>
      <w:spacing w:after="120" w:line="270" w:lineRule="exact"/>
      <w:ind w:left="0" w:firstLine="0"/>
    </w:pPr>
    <w:rPr>
      <w:b/>
      <w:sz w:val="24"/>
    </w:rPr>
  </w:style>
  <w:style w:type="paragraph" w:customStyle="1" w:styleId="Indraghngande">
    <w:name w:val="Indrag hängande"/>
    <w:basedOn w:val="Normal"/>
    <w:next w:val="Normal"/>
    <w:rsid w:val="009C5DDA"/>
    <w:pPr>
      <w:ind w:left="3912" w:hanging="1304"/>
    </w:pPr>
  </w:style>
  <w:style w:type="paragraph" w:customStyle="1" w:styleId="Skord">
    <w:name w:val="Sökord"/>
    <w:basedOn w:val="Normal"/>
    <w:next w:val="Normal"/>
    <w:pPr>
      <w:ind w:hanging="2608"/>
    </w:pPr>
  </w:style>
  <w:style w:type="paragraph" w:customStyle="1" w:styleId="Cellrubrik">
    <w:name w:val="Cellrubrik"/>
    <w:basedOn w:val="Rubrik1"/>
    <w:semiHidden/>
    <w:pPr>
      <w:widowControl w:val="0"/>
      <w:spacing w:after="0" w:line="180" w:lineRule="exact"/>
      <w:ind w:left="-57"/>
      <w:outlineLvl w:val="9"/>
    </w:pPr>
    <w:rPr>
      <w:b/>
      <w:kern w:val="0"/>
      <w:sz w:val="14"/>
      <w:szCs w:val="20"/>
      <w:lang w:val="en-AU"/>
    </w:rPr>
  </w:style>
  <w:style w:type="paragraph" w:styleId="Datum">
    <w:name w:val="Date"/>
    <w:basedOn w:val="Normal"/>
    <w:next w:val="Normal"/>
    <w:semiHidden/>
  </w:style>
  <w:style w:type="paragraph" w:customStyle="1" w:styleId="Dnr">
    <w:name w:val="Dnr"/>
    <w:semiHidden/>
    <w:pPr>
      <w:spacing w:line="240" w:lineRule="exact"/>
    </w:pPr>
    <w:rPr>
      <w:sz w:val="22"/>
    </w:rPr>
  </w:style>
  <w:style w:type="character" w:customStyle="1" w:styleId="SidfotChar">
    <w:name w:val="Sidfot Char"/>
    <w:basedOn w:val="Standardstycketeckensnitt"/>
    <w:link w:val="Sidfot"/>
    <w:uiPriority w:val="99"/>
    <w:locked/>
    <w:rsid w:val="00F167E7"/>
    <w:rPr>
      <w:rFonts w:ascii="Arial" w:hAnsi="Arial"/>
      <w:sz w:val="16"/>
      <w:szCs w:val="24"/>
      <w:lang w:val="sv-SE" w:eastAsia="sv-SE" w:bidi="ar-SA"/>
    </w:rPr>
  </w:style>
  <w:style w:type="character" w:styleId="Platshllartext">
    <w:name w:val="Placeholder Text"/>
    <w:basedOn w:val="Standardstycketeckensnitt"/>
    <w:uiPriority w:val="99"/>
    <w:semiHidden/>
    <w:rsid w:val="00D1609A"/>
    <w:rPr>
      <w:color w:val="808080"/>
    </w:rPr>
  </w:style>
  <w:style w:type="paragraph" w:styleId="Ballongtext">
    <w:name w:val="Balloon Text"/>
    <w:basedOn w:val="Normal"/>
    <w:link w:val="BallongtextChar"/>
    <w:rsid w:val="00D1609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609A"/>
    <w:rPr>
      <w:rFonts w:ascii="Tahoma" w:hAnsi="Tahoma" w:cs="Tahoma"/>
      <w:sz w:val="16"/>
      <w:szCs w:val="16"/>
    </w:rPr>
  </w:style>
  <w:style w:type="character" w:customStyle="1" w:styleId="SidhuvudChar">
    <w:name w:val="Sidhuvud Char"/>
    <w:basedOn w:val="Standardstycketeckensnitt"/>
    <w:link w:val="Sidhuvud"/>
    <w:uiPriority w:val="99"/>
    <w:rsid w:val="00B40170"/>
    <w:rPr>
      <w:sz w:val="22"/>
      <w:szCs w:val="22"/>
    </w:rPr>
  </w:style>
  <w:style w:type="character" w:styleId="Stark">
    <w:name w:val="Strong"/>
    <w:basedOn w:val="Standardstycketeckensnitt"/>
    <w:rsid w:val="00F304FF"/>
    <w:rPr>
      <w:b/>
      <w:bCs/>
    </w:rPr>
  </w:style>
  <w:style w:type="paragraph" w:styleId="Underrubrik">
    <w:name w:val="Subtitle"/>
    <w:basedOn w:val="Normal"/>
    <w:next w:val="Normal"/>
    <w:link w:val="UnderrubrikChar"/>
    <w:rsid w:val="00F304FF"/>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F304FF"/>
    <w:rPr>
      <w:rFonts w:asciiTheme="majorHAnsi" w:eastAsiaTheme="majorEastAsia" w:hAnsiTheme="majorHAnsi" w:cstheme="majorBidi"/>
      <w:i/>
      <w:iCs/>
      <w:color w:val="4F81BD" w:themeColor="accent1"/>
      <w:spacing w:val="15"/>
      <w:sz w:val="24"/>
      <w:szCs w:val="24"/>
    </w:rPr>
  </w:style>
  <w:style w:type="character" w:styleId="Diskretreferens">
    <w:name w:val="Subtle Reference"/>
    <w:basedOn w:val="Standardstycketeckensnitt"/>
    <w:uiPriority w:val="31"/>
    <w:rsid w:val="00F304FF"/>
    <w:rPr>
      <w:smallCaps/>
      <w:color w:val="C0504D" w:themeColor="accent2"/>
      <w:u w:val="single"/>
    </w:rPr>
  </w:style>
  <w:style w:type="paragraph" w:styleId="Liststycke">
    <w:name w:val="List Paragraph"/>
    <w:basedOn w:val="Normal"/>
    <w:uiPriority w:val="34"/>
    <w:rsid w:val="00F304FF"/>
    <w:pPr>
      <w:ind w:left="720"/>
      <w:contextualSpacing/>
    </w:pPr>
  </w:style>
  <w:style w:type="paragraph" w:styleId="Rubrik">
    <w:name w:val="Title"/>
    <w:basedOn w:val="Normal"/>
    <w:next w:val="Normal"/>
    <w:link w:val="RubrikChar"/>
    <w:rsid w:val="00F304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F304FF"/>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rsid w:val="00F304FF"/>
    <w:rPr>
      <w:i/>
      <w:iCs/>
    </w:rPr>
  </w:style>
  <w:style w:type="paragraph" w:customStyle="1" w:styleId="Rubrik1-Numrering">
    <w:name w:val="Rubrik 1 - Numrering"/>
    <w:basedOn w:val="Rubrik1"/>
    <w:next w:val="Normal"/>
    <w:qFormat/>
    <w:rsid w:val="00001C48"/>
    <w:pPr>
      <w:numPr>
        <w:numId w:val="16"/>
      </w:numPr>
    </w:pPr>
  </w:style>
  <w:style w:type="paragraph" w:customStyle="1" w:styleId="Rubrik2-Numrering">
    <w:name w:val="Rubrik 2 - Numrering"/>
    <w:basedOn w:val="Rubrik2"/>
    <w:next w:val="Normal"/>
    <w:qFormat/>
    <w:rsid w:val="00001C48"/>
    <w:pPr>
      <w:numPr>
        <w:ilvl w:val="1"/>
        <w:numId w:val="21"/>
      </w:numPr>
    </w:pPr>
  </w:style>
  <w:style w:type="paragraph" w:customStyle="1" w:styleId="Rubrik3-Numrering">
    <w:name w:val="Rubrik 3 - Numrering"/>
    <w:basedOn w:val="Rubrik3"/>
    <w:next w:val="Normal"/>
    <w:qFormat/>
    <w:rsid w:val="002F0542"/>
    <w:pPr>
      <w:numPr>
        <w:ilvl w:val="2"/>
        <w:numId w:val="21"/>
      </w:numPr>
    </w:pPr>
  </w:style>
  <w:style w:type="paragraph" w:customStyle="1" w:styleId="Rubrik4-Numrering">
    <w:name w:val="Rubrik 4 - Numrering"/>
    <w:basedOn w:val="Rubrik4"/>
    <w:next w:val="Normal"/>
    <w:qFormat/>
    <w:rsid w:val="002F0542"/>
    <w:pPr>
      <w:numPr>
        <w:ilvl w:val="3"/>
        <w:numId w:val="21"/>
      </w:numPr>
    </w:pPr>
  </w:style>
  <w:style w:type="table" w:styleId="Tabellrutnt">
    <w:name w:val="Table Grid"/>
    <w:basedOn w:val="Normaltabell"/>
    <w:rsid w:val="00895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2946"/>
    <w:pPr>
      <w:tabs>
        <w:tab w:val="left" w:pos="0"/>
        <w:tab w:val="left" w:pos="1304"/>
        <w:tab w:val="left" w:pos="2608"/>
        <w:tab w:val="left" w:pos="3912"/>
        <w:tab w:val="left" w:pos="5216"/>
        <w:tab w:val="left" w:pos="6521"/>
        <w:tab w:val="left" w:pos="7825"/>
        <w:tab w:val="left" w:pos="9129"/>
      </w:tabs>
      <w:spacing w:line="288" w:lineRule="auto"/>
    </w:pPr>
    <w:rPr>
      <w:rFonts w:ascii="Calibri" w:hAnsi="Calibri"/>
      <w:sz w:val="22"/>
      <w:szCs w:val="24"/>
    </w:rPr>
  </w:style>
  <w:style w:type="paragraph" w:styleId="Rubrik1">
    <w:name w:val="heading 1"/>
    <w:basedOn w:val="Normal"/>
    <w:next w:val="Normal"/>
    <w:qFormat/>
    <w:rsid w:val="00642512"/>
    <w:pPr>
      <w:keepNext/>
      <w:spacing w:before="240" w:after="120" w:line="280" w:lineRule="atLeast"/>
      <w:outlineLvl w:val="0"/>
    </w:pPr>
    <w:rPr>
      <w:kern w:val="32"/>
      <w:sz w:val="36"/>
    </w:rPr>
  </w:style>
  <w:style w:type="paragraph" w:styleId="Rubrik2">
    <w:name w:val="heading 2"/>
    <w:basedOn w:val="Normal"/>
    <w:next w:val="Normal"/>
    <w:qFormat/>
    <w:rsid w:val="007638C4"/>
    <w:pPr>
      <w:keepNext/>
      <w:spacing w:after="60" w:line="270" w:lineRule="exact"/>
      <w:outlineLvl w:val="1"/>
    </w:pPr>
    <w:rPr>
      <w:b/>
      <w:caps/>
      <w:sz w:val="25"/>
    </w:rPr>
  </w:style>
  <w:style w:type="paragraph" w:styleId="Rubrik3">
    <w:name w:val="heading 3"/>
    <w:basedOn w:val="Normal"/>
    <w:next w:val="Normal"/>
    <w:qFormat/>
    <w:rsid w:val="006C518A"/>
    <w:pPr>
      <w:keepNext/>
      <w:spacing w:before="240" w:after="60" w:line="260" w:lineRule="exact"/>
      <w:outlineLvl w:val="2"/>
    </w:pPr>
    <w:rPr>
      <w:b/>
    </w:rPr>
  </w:style>
  <w:style w:type="paragraph" w:styleId="Rubrik4">
    <w:name w:val="heading 4"/>
    <w:basedOn w:val="Normal"/>
    <w:next w:val="Normal"/>
    <w:qFormat/>
    <w:rsid w:val="001E4DAE"/>
    <w:pPr>
      <w:keepNext/>
      <w:spacing w:after="60" w:line="270" w:lineRule="exact"/>
      <w:outlineLvl w:val="3"/>
    </w:pPr>
    <w:rPr>
      <w:bCs/>
      <w:i/>
      <w:szCs w:val="28"/>
    </w:rPr>
  </w:style>
  <w:style w:type="paragraph" w:styleId="Rubrik5">
    <w:name w:val="heading 5"/>
    <w:basedOn w:val="Normal"/>
    <w:next w:val="Normal"/>
    <w:pPr>
      <w:keepNext/>
      <w:spacing w:before="120" w:after="100"/>
      <w:outlineLvl w:val="4"/>
    </w:pPr>
    <w:rPr>
      <w:bCs/>
      <w:i/>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edtext">
    <w:name w:val="Ledtext"/>
    <w:basedOn w:val="Normal"/>
    <w:semiHidden/>
    <w:pPr>
      <w:spacing w:line="180" w:lineRule="exact"/>
    </w:pPr>
    <w:rPr>
      <w:rFonts w:ascii="Arial" w:hAnsi="Arial"/>
      <w:sz w:val="16"/>
    </w:rPr>
  </w:style>
  <w:style w:type="paragraph" w:styleId="Sidhuvud">
    <w:name w:val="header"/>
    <w:basedOn w:val="Normal"/>
    <w:link w:val="SidhuvudChar"/>
    <w:uiPriority w:val="99"/>
    <w:rsid w:val="00B40170"/>
    <w:pPr>
      <w:tabs>
        <w:tab w:val="center" w:pos="4536"/>
        <w:tab w:val="right" w:pos="9072"/>
      </w:tabs>
    </w:pPr>
    <w:rPr>
      <w:rFonts w:ascii="Times New Roman" w:hAnsi="Times New Roman"/>
      <w:szCs w:val="22"/>
    </w:rPr>
  </w:style>
  <w:style w:type="paragraph" w:styleId="Sidfot">
    <w:name w:val="footer"/>
    <w:basedOn w:val="Normal"/>
    <w:link w:val="SidfotChar"/>
    <w:uiPriority w:val="99"/>
    <w:pPr>
      <w:tabs>
        <w:tab w:val="center" w:pos="4536"/>
        <w:tab w:val="right" w:pos="9072"/>
      </w:tabs>
    </w:pPr>
    <w:rPr>
      <w:rFonts w:ascii="Arial" w:hAnsi="Arial"/>
      <w:sz w:val="16"/>
    </w:rPr>
  </w:style>
  <w:style w:type="character" w:styleId="Sidnummer">
    <w:name w:val="page number"/>
    <w:basedOn w:val="Standardstycketeckensnitt"/>
    <w:semiHidden/>
  </w:style>
  <w:style w:type="paragraph" w:customStyle="1" w:styleId="Doldtext">
    <w:name w:val="Doldtext"/>
    <w:basedOn w:val="Normal"/>
    <w:semiHidden/>
    <w:pPr>
      <w:spacing w:line="240" w:lineRule="auto"/>
    </w:pPr>
    <w:rPr>
      <w:rFonts w:ascii="Arial" w:hAnsi="Arial"/>
      <w:noProof/>
      <w:vanish/>
      <w:color w:val="0000FF"/>
      <w:sz w:val="20"/>
    </w:rPr>
  </w:style>
  <w:style w:type="paragraph" w:customStyle="1" w:styleId="Indrag">
    <w:name w:val="Indrag"/>
    <w:basedOn w:val="Normal"/>
    <w:next w:val="Normal"/>
    <w:rsid w:val="009C5DDA"/>
    <w:pPr>
      <w:ind w:left="3912"/>
    </w:pPr>
  </w:style>
  <w:style w:type="paragraph" w:customStyle="1" w:styleId="Status">
    <w:name w:val="Status"/>
    <w:basedOn w:val="Normal"/>
    <w:semiHidden/>
  </w:style>
  <w:style w:type="paragraph" w:customStyle="1" w:styleId="Bilaga">
    <w:name w:val="Bilaga"/>
    <w:basedOn w:val="Normal"/>
    <w:next w:val="Normal"/>
    <w:semiHidden/>
    <w:rsid w:val="00EA6E10"/>
  </w:style>
  <w:style w:type="paragraph" w:customStyle="1" w:styleId="Dokumenttyp">
    <w:name w:val="Dokumenttyp"/>
    <w:basedOn w:val="Normal"/>
    <w:semiHidden/>
    <w:rPr>
      <w:caps/>
      <w:szCs w:val="22"/>
    </w:rPr>
  </w:style>
  <w:style w:type="paragraph" w:styleId="Numreradlista">
    <w:name w:val="List Number"/>
    <w:basedOn w:val="Normal"/>
    <w:autoRedefine/>
    <w:rsid w:val="00AE05FE"/>
    <w:pPr>
      <w:numPr>
        <w:numId w:val="7"/>
      </w:numPr>
      <w:ind w:left="420"/>
    </w:pPr>
  </w:style>
  <w:style w:type="paragraph" w:styleId="Punktlista">
    <w:name w:val="List Bullet"/>
    <w:basedOn w:val="Normal"/>
    <w:autoRedefine/>
    <w:rsid w:val="00AE05FE"/>
    <w:pPr>
      <w:numPr>
        <w:numId w:val="8"/>
      </w:numPr>
      <w:ind w:left="357"/>
    </w:pPr>
    <w:rPr>
      <w:noProof/>
    </w:rPr>
  </w:style>
  <w:style w:type="character" w:styleId="Hyperlnk">
    <w:name w:val="Hyperlink"/>
    <w:basedOn w:val="Standardstycketeckensnitt"/>
    <w:semiHidden/>
    <w:rsid w:val="005D7F0A"/>
    <w:rPr>
      <w:color w:val="0000FF"/>
      <w:u w:val="single"/>
    </w:rPr>
  </w:style>
  <w:style w:type="paragraph" w:customStyle="1" w:styleId="Rubriknumrerad1">
    <w:name w:val="Rubrik_numrerad_1"/>
    <w:basedOn w:val="Normal"/>
    <w:next w:val="Normal"/>
    <w:autoRedefine/>
    <w:rsid w:val="00AE05FE"/>
    <w:pPr>
      <w:keepNext/>
      <w:numPr>
        <w:numId w:val="15"/>
      </w:numPr>
      <w:tabs>
        <w:tab w:val="clear" w:pos="1304"/>
        <w:tab w:val="num" w:pos="360"/>
      </w:tabs>
      <w:spacing w:after="120" w:line="270" w:lineRule="exact"/>
      <w:ind w:left="0" w:firstLine="0"/>
    </w:pPr>
    <w:rPr>
      <w:b/>
      <w:sz w:val="24"/>
    </w:rPr>
  </w:style>
  <w:style w:type="paragraph" w:customStyle="1" w:styleId="Rubriknumrerad11">
    <w:name w:val="Rubrik_numrerad_1.1"/>
    <w:basedOn w:val="Normal"/>
    <w:next w:val="Normal"/>
    <w:autoRedefine/>
    <w:rsid w:val="00AE05FE"/>
    <w:pPr>
      <w:numPr>
        <w:ilvl w:val="1"/>
        <w:numId w:val="15"/>
      </w:numPr>
      <w:tabs>
        <w:tab w:val="clear" w:pos="1304"/>
        <w:tab w:val="num" w:pos="360"/>
      </w:tabs>
      <w:spacing w:after="120" w:line="270" w:lineRule="exact"/>
      <w:ind w:left="0" w:firstLine="0"/>
    </w:pPr>
    <w:rPr>
      <w:b/>
      <w:sz w:val="24"/>
    </w:rPr>
  </w:style>
  <w:style w:type="character" w:customStyle="1" w:styleId="Datumfast">
    <w:name w:val="Datum_fast"/>
    <w:basedOn w:val="Standardstycketeckensnitt"/>
    <w:semiHidden/>
    <w:rPr>
      <w:rFonts w:ascii="Times New Roman" w:hAnsi="Times New Roman"/>
      <w:sz w:val="22"/>
    </w:rPr>
  </w:style>
  <w:style w:type="paragraph" w:customStyle="1" w:styleId="Rubriknumrerad111">
    <w:name w:val="Rubrik_numrerad_1.1.1"/>
    <w:basedOn w:val="Normal"/>
    <w:next w:val="Normal"/>
    <w:autoRedefine/>
    <w:rsid w:val="00AE05FE"/>
    <w:pPr>
      <w:numPr>
        <w:ilvl w:val="2"/>
        <w:numId w:val="15"/>
      </w:numPr>
      <w:tabs>
        <w:tab w:val="clear" w:pos="1304"/>
        <w:tab w:val="num" w:pos="360"/>
      </w:tabs>
      <w:spacing w:after="120" w:line="270" w:lineRule="exact"/>
      <w:ind w:left="0" w:firstLine="0"/>
    </w:pPr>
    <w:rPr>
      <w:b/>
      <w:sz w:val="24"/>
    </w:rPr>
  </w:style>
  <w:style w:type="paragraph" w:customStyle="1" w:styleId="Indraghngande">
    <w:name w:val="Indrag hängande"/>
    <w:basedOn w:val="Normal"/>
    <w:next w:val="Normal"/>
    <w:rsid w:val="009C5DDA"/>
    <w:pPr>
      <w:ind w:left="3912" w:hanging="1304"/>
    </w:pPr>
  </w:style>
  <w:style w:type="paragraph" w:customStyle="1" w:styleId="Skord">
    <w:name w:val="Sökord"/>
    <w:basedOn w:val="Normal"/>
    <w:next w:val="Normal"/>
    <w:pPr>
      <w:ind w:hanging="2608"/>
    </w:pPr>
  </w:style>
  <w:style w:type="paragraph" w:customStyle="1" w:styleId="Cellrubrik">
    <w:name w:val="Cellrubrik"/>
    <w:basedOn w:val="Rubrik1"/>
    <w:semiHidden/>
    <w:pPr>
      <w:widowControl w:val="0"/>
      <w:spacing w:after="0" w:line="180" w:lineRule="exact"/>
      <w:ind w:left="-57"/>
      <w:outlineLvl w:val="9"/>
    </w:pPr>
    <w:rPr>
      <w:b/>
      <w:kern w:val="0"/>
      <w:sz w:val="14"/>
      <w:szCs w:val="20"/>
      <w:lang w:val="en-AU"/>
    </w:rPr>
  </w:style>
  <w:style w:type="paragraph" w:styleId="Datum">
    <w:name w:val="Date"/>
    <w:basedOn w:val="Normal"/>
    <w:next w:val="Normal"/>
    <w:semiHidden/>
  </w:style>
  <w:style w:type="paragraph" w:customStyle="1" w:styleId="Dnr">
    <w:name w:val="Dnr"/>
    <w:semiHidden/>
    <w:pPr>
      <w:spacing w:line="240" w:lineRule="exact"/>
    </w:pPr>
    <w:rPr>
      <w:sz w:val="22"/>
    </w:rPr>
  </w:style>
  <w:style w:type="character" w:customStyle="1" w:styleId="SidfotChar">
    <w:name w:val="Sidfot Char"/>
    <w:basedOn w:val="Standardstycketeckensnitt"/>
    <w:link w:val="Sidfot"/>
    <w:uiPriority w:val="99"/>
    <w:locked/>
    <w:rsid w:val="00F167E7"/>
    <w:rPr>
      <w:rFonts w:ascii="Arial" w:hAnsi="Arial"/>
      <w:sz w:val="16"/>
      <w:szCs w:val="24"/>
      <w:lang w:val="sv-SE" w:eastAsia="sv-SE" w:bidi="ar-SA"/>
    </w:rPr>
  </w:style>
  <w:style w:type="character" w:styleId="Platshllartext">
    <w:name w:val="Placeholder Text"/>
    <w:basedOn w:val="Standardstycketeckensnitt"/>
    <w:uiPriority w:val="99"/>
    <w:semiHidden/>
    <w:rsid w:val="00D1609A"/>
    <w:rPr>
      <w:color w:val="808080"/>
    </w:rPr>
  </w:style>
  <w:style w:type="paragraph" w:styleId="Ballongtext">
    <w:name w:val="Balloon Text"/>
    <w:basedOn w:val="Normal"/>
    <w:link w:val="BallongtextChar"/>
    <w:rsid w:val="00D1609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609A"/>
    <w:rPr>
      <w:rFonts w:ascii="Tahoma" w:hAnsi="Tahoma" w:cs="Tahoma"/>
      <w:sz w:val="16"/>
      <w:szCs w:val="16"/>
    </w:rPr>
  </w:style>
  <w:style w:type="character" w:customStyle="1" w:styleId="SidhuvudChar">
    <w:name w:val="Sidhuvud Char"/>
    <w:basedOn w:val="Standardstycketeckensnitt"/>
    <w:link w:val="Sidhuvud"/>
    <w:uiPriority w:val="99"/>
    <w:rsid w:val="00B40170"/>
    <w:rPr>
      <w:sz w:val="22"/>
      <w:szCs w:val="22"/>
    </w:rPr>
  </w:style>
  <w:style w:type="character" w:styleId="Stark">
    <w:name w:val="Strong"/>
    <w:basedOn w:val="Standardstycketeckensnitt"/>
    <w:rsid w:val="00F304FF"/>
    <w:rPr>
      <w:b/>
      <w:bCs/>
    </w:rPr>
  </w:style>
  <w:style w:type="paragraph" w:styleId="Underrubrik">
    <w:name w:val="Subtitle"/>
    <w:basedOn w:val="Normal"/>
    <w:next w:val="Normal"/>
    <w:link w:val="UnderrubrikChar"/>
    <w:rsid w:val="00F304FF"/>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F304FF"/>
    <w:rPr>
      <w:rFonts w:asciiTheme="majorHAnsi" w:eastAsiaTheme="majorEastAsia" w:hAnsiTheme="majorHAnsi" w:cstheme="majorBidi"/>
      <w:i/>
      <w:iCs/>
      <w:color w:val="4F81BD" w:themeColor="accent1"/>
      <w:spacing w:val="15"/>
      <w:sz w:val="24"/>
      <w:szCs w:val="24"/>
    </w:rPr>
  </w:style>
  <w:style w:type="character" w:styleId="Diskretreferens">
    <w:name w:val="Subtle Reference"/>
    <w:basedOn w:val="Standardstycketeckensnitt"/>
    <w:uiPriority w:val="31"/>
    <w:rsid w:val="00F304FF"/>
    <w:rPr>
      <w:smallCaps/>
      <w:color w:val="C0504D" w:themeColor="accent2"/>
      <w:u w:val="single"/>
    </w:rPr>
  </w:style>
  <w:style w:type="paragraph" w:styleId="Liststycke">
    <w:name w:val="List Paragraph"/>
    <w:basedOn w:val="Normal"/>
    <w:uiPriority w:val="34"/>
    <w:rsid w:val="00F304FF"/>
    <w:pPr>
      <w:ind w:left="720"/>
      <w:contextualSpacing/>
    </w:pPr>
  </w:style>
  <w:style w:type="paragraph" w:styleId="Rubrik">
    <w:name w:val="Title"/>
    <w:basedOn w:val="Normal"/>
    <w:next w:val="Normal"/>
    <w:link w:val="RubrikChar"/>
    <w:rsid w:val="00F304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F304FF"/>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rsid w:val="00F304FF"/>
    <w:rPr>
      <w:i/>
      <w:iCs/>
    </w:rPr>
  </w:style>
  <w:style w:type="paragraph" w:customStyle="1" w:styleId="Rubrik1-Numrering">
    <w:name w:val="Rubrik 1 - Numrering"/>
    <w:basedOn w:val="Rubrik1"/>
    <w:next w:val="Normal"/>
    <w:qFormat/>
    <w:rsid w:val="00001C48"/>
    <w:pPr>
      <w:numPr>
        <w:numId w:val="16"/>
      </w:numPr>
    </w:pPr>
  </w:style>
  <w:style w:type="paragraph" w:customStyle="1" w:styleId="Rubrik2-Numrering">
    <w:name w:val="Rubrik 2 - Numrering"/>
    <w:basedOn w:val="Rubrik2"/>
    <w:next w:val="Normal"/>
    <w:qFormat/>
    <w:rsid w:val="00001C48"/>
    <w:pPr>
      <w:numPr>
        <w:ilvl w:val="1"/>
        <w:numId w:val="21"/>
      </w:numPr>
    </w:pPr>
  </w:style>
  <w:style w:type="paragraph" w:customStyle="1" w:styleId="Rubrik3-Numrering">
    <w:name w:val="Rubrik 3 - Numrering"/>
    <w:basedOn w:val="Rubrik3"/>
    <w:next w:val="Normal"/>
    <w:qFormat/>
    <w:rsid w:val="002F0542"/>
    <w:pPr>
      <w:numPr>
        <w:ilvl w:val="2"/>
        <w:numId w:val="21"/>
      </w:numPr>
    </w:pPr>
  </w:style>
  <w:style w:type="paragraph" w:customStyle="1" w:styleId="Rubrik4-Numrering">
    <w:name w:val="Rubrik 4 - Numrering"/>
    <w:basedOn w:val="Rubrik4"/>
    <w:next w:val="Normal"/>
    <w:qFormat/>
    <w:rsid w:val="002F0542"/>
    <w:pPr>
      <w:numPr>
        <w:ilvl w:val="3"/>
        <w:numId w:val="21"/>
      </w:numPr>
    </w:pPr>
  </w:style>
  <w:style w:type="table" w:styleId="Tabellrutnt">
    <w:name w:val="Table Grid"/>
    <w:basedOn w:val="Normaltabell"/>
    <w:rsid w:val="00895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5445">
      <w:bodyDiv w:val="1"/>
      <w:marLeft w:val="0"/>
      <w:marRight w:val="0"/>
      <w:marTop w:val="0"/>
      <w:marBottom w:val="0"/>
      <w:divBdr>
        <w:top w:val="none" w:sz="0" w:space="0" w:color="auto"/>
        <w:left w:val="none" w:sz="0" w:space="0" w:color="auto"/>
        <w:bottom w:val="none" w:sz="0" w:space="0" w:color="auto"/>
        <w:right w:val="none" w:sz="0" w:space="0" w:color="auto"/>
      </w:divBdr>
    </w:div>
    <w:div w:id="273290568">
      <w:bodyDiv w:val="1"/>
      <w:marLeft w:val="0"/>
      <w:marRight w:val="0"/>
      <w:marTop w:val="0"/>
      <w:marBottom w:val="0"/>
      <w:divBdr>
        <w:top w:val="none" w:sz="0" w:space="0" w:color="auto"/>
        <w:left w:val="none" w:sz="0" w:space="0" w:color="auto"/>
        <w:bottom w:val="none" w:sz="0" w:space="0" w:color="auto"/>
        <w:right w:val="none" w:sz="0" w:space="0" w:color="auto"/>
      </w:divBdr>
    </w:div>
    <w:div w:id="1189873833">
      <w:bodyDiv w:val="1"/>
      <w:marLeft w:val="0"/>
      <w:marRight w:val="0"/>
      <w:marTop w:val="0"/>
      <w:marBottom w:val="0"/>
      <w:divBdr>
        <w:top w:val="none" w:sz="0" w:space="0" w:color="auto"/>
        <w:left w:val="none" w:sz="0" w:space="0" w:color="auto"/>
        <w:bottom w:val="none" w:sz="0" w:space="0" w:color="auto"/>
        <w:right w:val="none" w:sz="0" w:space="0" w:color="auto"/>
      </w:divBdr>
    </w:div>
    <w:div w:id="1586257920">
      <w:bodyDiv w:val="1"/>
      <w:marLeft w:val="0"/>
      <w:marRight w:val="0"/>
      <w:marTop w:val="0"/>
      <w:marBottom w:val="0"/>
      <w:divBdr>
        <w:top w:val="none" w:sz="0" w:space="0" w:color="auto"/>
        <w:left w:val="none" w:sz="0" w:space="0" w:color="auto"/>
        <w:bottom w:val="none" w:sz="0" w:space="0" w:color="auto"/>
        <w:right w:val="none" w:sz="0" w:space="0" w:color="auto"/>
      </w:divBdr>
    </w:div>
    <w:div w:id="1769427317">
      <w:bodyDiv w:val="1"/>
      <w:marLeft w:val="0"/>
      <w:marRight w:val="0"/>
      <w:marTop w:val="0"/>
      <w:marBottom w:val="0"/>
      <w:divBdr>
        <w:top w:val="none" w:sz="0" w:space="0" w:color="auto"/>
        <w:left w:val="none" w:sz="0" w:space="0" w:color="auto"/>
        <w:bottom w:val="none" w:sz="0" w:space="0" w:color="auto"/>
        <w:right w:val="none" w:sz="0" w:space="0" w:color="auto"/>
      </w:divBdr>
    </w:div>
    <w:div w:id="20476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4FFD-C891-41A6-98AC-28525A32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2738</Words>
  <Characters>16942</Characters>
  <Application>Microsoft Office Word</Application>
  <DocSecurity>0</DocSecurity>
  <Lines>651</Lines>
  <Paragraphs>457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2019-01-29T15:08:00Z</dcterms:created>
  <dcterms:modified xsi:type="dcterms:W3CDTF">2019-01-30T15:42:00Z</dcterms:modified>
</cp:coreProperties>
</file>